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600" w:after="240"/>
        <w:jc w:val="center"/>
      </w:pPr>
      <w:r>
        <w:rPr>
          <w:b/>
          <w:color w:val="2563EB"/>
          <w:sz w:val="19"/>
          <w:spacing w:val="60"/>
        </w:rPr>
        <w:t>CASE STUDY</w:t>
      </w:r>
    </w:p>
    <w:p>
      <w:pPr>
        <w:spacing w:after="80"/>
        <w:jc w:val="center"/>
      </w:pPr>
      <w:r>
        <w:rPr>
          <w:b/>
          <w:color w:val="111111"/>
          <w:sz w:val="60"/>
        </w:rPr>
        <w:t>Meta Ads Lead Generation</w:t>
      </w:r>
    </w:p>
    <w:p>
      <w:pPr>
        <w:spacing w:after="240" w:before="80"/>
        <w:ind w:left="3600" w:right="3600"/>
        <w:jc w:val="center"/>
        <w:pBdr>
          <w:bottom w:val="single" w:sz="12" w:space="1" w:color="2563EB"/>
        </w:pBdr>
      </w:pPr>
    </w:p>
    <w:p>
      <w:pPr>
        <w:spacing w:after="720"/>
        <w:jc w:val="center"/>
      </w:pPr>
      <w:r>
        <w:rPr>
          <w:b/>
          <w:color w:val="2563EB"/>
          <w:sz w:val="26"/>
        </w:rPr>
        <w:t>Medical Device — Ear Care Vertical</w:t>
      </w:r>
    </w:p>
    <w:p>
      <w:pPr>
        <w:spacing w:after="80"/>
        <w:jc w:val="center"/>
      </w:pPr>
      <w:r>
        <w:rPr>
          <w:b/>
          <w:color w:val="111111"/>
          <w:sz w:val="23"/>
        </w:rPr>
        <w:t>172+ Leads Generated in 30 Days</w:t>
      </w:r>
    </w:p>
    <w:p>
      <w:pPr>
        <w:spacing w:after="80"/>
        <w:jc w:val="center"/>
      </w:pPr>
      <w:r>
        <w:rPr>
          <w:b/>
          <w:color w:val="111111"/>
          <w:sz w:val="23"/>
        </w:rPr>
        <w:t>~$6.79 Blended Cost Per Lead</w:t>
      </w:r>
    </w:p>
    <w:p>
      <w:pPr>
        <w:spacing w:after="80"/>
        <w:jc w:val="center"/>
      </w:pPr>
      <w:r>
        <w:rPr>
          <w:b/>
          <w:color w:val="111111"/>
          <w:sz w:val="23"/>
        </w:rPr>
        <w:t>18 Leads in a Single Day (Peak)</w:t>
      </w:r>
    </w:p>
    <w:p>
      <w:pPr>
        <w:spacing w:after="80"/>
        <w:jc w:val="center"/>
      </w:pPr>
      <w:r>
        <w:rPr>
          <w:b/>
          <w:color w:val="111111"/>
          <w:sz w:val="23"/>
        </w:rPr>
        <w:t>~5.7 Leads Per Day Average</w:t>
      </w:r>
    </w:p>
    <w:p>
      <w:pPr>
        <w:spacing w:after="80"/>
        <w:jc w:val="center"/>
      </w:pPr>
      <w:r>
        <w:rPr>
          <w:b/>
          <w:color w:val="111111"/>
          <w:sz w:val="23"/>
        </w:rPr>
        <w:t>64% Drop in Cost Per Lead Over 4 Weeks</w:t>
      </w:r>
    </w:p>
    <w:p>
      <w:pPr>
        <w:spacing w:before="720"/>
        <w:jc w:val="center"/>
      </w:pPr>
      <w:r>
        <w:rPr>
          <w:color w:val="6B7280"/>
          <w:sz w:val="18"/>
        </w:rPr>
        <w:t>February – March 2026</w:t>
        <w:br/>
        <w:t>Prepared by Team Secret Agents</w:t>
      </w:r>
    </w:p>
    <w:p>
      <w:r>
        <w:br w:type="page"/>
      </w:r>
    </w:p>
    <w:p>
      <w:pPr>
        <w:spacing w:after="320"/>
        <w:jc w:val="right"/>
      </w:pPr>
      <w:r>
        <w:rPr>
          <w:i/>
          <w:color w:val="6B7280"/>
          <w:sz w:val="15"/>
        </w:rPr>
        <w:t>Case Study — Medical Device Client</w:t>
      </w:r>
    </w:p>
    <w:p>
      <w:pPr>
        <w:spacing w:before="360" w:after="80"/>
        <w:pBdr>
          <w:bottom w:val="single" w:sz="6" w:space="1" w:color="E5E7EB"/>
        </w:pBdr>
      </w:pPr>
      <w:r>
        <w:rPr>
          <w:b/>
          <w:color w:val="111111"/>
          <w:sz w:val="32"/>
        </w:rPr>
        <w:t>Executive Summary</w:t>
      </w:r>
    </w:p>
    <w:p>
      <w:pPr>
        <w:spacing w:after="120" w:before="0"/>
        <w:jc w:val="both"/>
      </w:pPr>
      <w:r>
        <w:rPr>
          <w:color w:val="111111"/>
          <w:sz w:val="20"/>
        </w:rPr>
        <w:t>A medical device company specializing in ear care products sought to build a scalable, data-driven lead generation system on Meta to reach healthcare providers—specifically pediatricians, family practice physicians, urgent care providers, and ENT specialists—across the United States. The company's flagship product, a lighted micro-suction device for cerumen and foreign body removal, addressed a real clinical pain point: the time, effort, and patient discomfort associated with traditional ear cleaning methods.</w:t>
      </w:r>
    </w:p>
    <w:p>
      <w:pPr>
        <w:spacing w:after="120" w:before="0"/>
        <w:jc w:val="both"/>
      </w:pPr>
      <w:r>
        <w:rPr>
          <w:color w:val="111111"/>
          <w:sz w:val="20"/>
        </w:rPr>
        <w:t>Team Secret Agents developed and deployed a multi-batch Meta ad campaign featuring AI-generated video scripts with 10 distinct emotional and clinical hooks per batch, each targeting a specific provider segment. The campaigns were paired with structured lead forms designed to qualify prospects in real time, capturing practice name, current cerumen removal method, and purchase intent timeline. Leads were delivered instantly to the client's Slack channel via Zapier automation.</w:t>
      </w:r>
    </w:p>
    <w:p>
      <w:pPr>
        <w:spacing w:after="120" w:before="0"/>
        <w:jc w:val="both"/>
      </w:pPr>
      <w:r>
        <w:rPr>
          <w:b/>
          <w:color w:val="111111"/>
          <w:sz w:val="20"/>
        </w:rPr>
        <w:t>The results were immediate and accelerating: 172+ leads generated in the first 30 days, with cost per lead dropping 64% over the first four weeks—from $22.58 to $8.16—and a peak of 18 leads in a single day.</w:t>
      </w:r>
      <w:r>
        <w:rPr>
          <w:b w:val="0"/>
          <w:color w:val="111111"/>
          <w:sz w:val="20"/>
        </w:rPr>
        <w:t xml:space="preserve"> The campaign demonstrated that a well-structured, hook-driven Meta strategy can penetrate a niche B2B healthcare market at exceptional efficiency.</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shd w:val="clear" w:color="auto" w:fill="FFFFFF"/>
            <w:tcBorders>
              <w:top w:val="single" w:sz="4" w:space="0" w:color="D1D5DB"/>
              <w:left w:val="single" w:sz="4" w:space="0" w:color="D1D5DB"/>
              <w:bottom w:val="single" w:sz="4" w:space="0" w:color="D1D5DB"/>
              <w:right w:val="single" w:sz="4" w:space="0" w:color="D1D5DB"/>
            </w:tcBorders>
          </w:tcPr>
          <w:p>
            <w:pPr>
              <w:spacing w:before="200" w:after="40"/>
              <w:jc w:val="center"/>
            </w:pPr>
            <w:r>
              <w:rPr>
                <w:b/>
                <w:color w:val="111111"/>
                <w:sz w:val="34"/>
              </w:rPr>
              <w:t>172+</w:t>
            </w:r>
          </w:p>
        </w:tc>
        <w:tc>
          <w:tcPr>
            <w:tcW w:type="dxa" w:w="1930"/>
            <w:shd w:val="clear" w:color="auto" w:fill="FFFFFF"/>
            <w:tcBorders>
              <w:top w:val="single" w:sz="4" w:space="0" w:color="D1D5DB"/>
              <w:left w:val="single" w:sz="4" w:space="0" w:color="D1D5DB"/>
              <w:bottom w:val="single" w:sz="4" w:space="0" w:color="D1D5DB"/>
              <w:right w:val="single" w:sz="4" w:space="0" w:color="D1D5DB"/>
            </w:tcBorders>
          </w:tcPr>
          <w:p>
            <w:pPr>
              <w:spacing w:before="200" w:after="40"/>
              <w:jc w:val="center"/>
            </w:pPr>
            <w:r>
              <w:rPr>
                <w:b/>
                <w:color w:val="111111"/>
                <w:sz w:val="34"/>
              </w:rPr>
              <w:t>~$6.79</w:t>
            </w:r>
          </w:p>
        </w:tc>
        <w:tc>
          <w:tcPr>
            <w:tcW w:type="dxa" w:w="1930"/>
            <w:shd w:val="clear" w:color="auto" w:fill="FFFFFF"/>
            <w:tcBorders>
              <w:top w:val="single" w:sz="4" w:space="0" w:color="D1D5DB"/>
              <w:left w:val="single" w:sz="4" w:space="0" w:color="D1D5DB"/>
              <w:bottom w:val="single" w:sz="4" w:space="0" w:color="D1D5DB"/>
              <w:right w:val="single" w:sz="4" w:space="0" w:color="D1D5DB"/>
            </w:tcBorders>
          </w:tcPr>
          <w:p>
            <w:pPr>
              <w:spacing w:before="200" w:after="40"/>
              <w:jc w:val="center"/>
            </w:pPr>
            <w:r>
              <w:rPr>
                <w:b/>
                <w:color w:val="111111"/>
                <w:sz w:val="34"/>
              </w:rPr>
              <w:t>18</w:t>
            </w:r>
          </w:p>
        </w:tc>
        <w:tc>
          <w:tcPr>
            <w:tcW w:type="dxa" w:w="1930"/>
            <w:shd w:val="clear" w:color="auto" w:fill="FFFFFF"/>
            <w:tcBorders>
              <w:top w:val="single" w:sz="4" w:space="0" w:color="D1D5DB"/>
              <w:left w:val="single" w:sz="4" w:space="0" w:color="D1D5DB"/>
              <w:bottom w:val="single" w:sz="4" w:space="0" w:color="D1D5DB"/>
              <w:right w:val="single" w:sz="4" w:space="0" w:color="D1D5DB"/>
            </w:tcBorders>
          </w:tcPr>
          <w:p>
            <w:pPr>
              <w:spacing w:before="200" w:after="40"/>
              <w:jc w:val="center"/>
            </w:pPr>
            <w:r>
              <w:rPr>
                <w:b/>
                <w:color w:val="111111"/>
                <w:sz w:val="34"/>
              </w:rPr>
              <w:t>~5.7</w:t>
            </w:r>
          </w:p>
        </w:tc>
        <w:tc>
          <w:tcPr>
            <w:tcW w:type="dxa" w:w="1930"/>
            <w:shd w:val="clear" w:color="auto" w:fill="FFFFFF"/>
            <w:tcBorders>
              <w:top w:val="single" w:sz="4" w:space="0" w:color="D1D5DB"/>
              <w:left w:val="single" w:sz="4" w:space="0" w:color="D1D5DB"/>
              <w:bottom w:val="single" w:sz="4" w:space="0" w:color="D1D5DB"/>
              <w:right w:val="single" w:sz="4" w:space="0" w:color="D1D5DB"/>
            </w:tcBorders>
          </w:tcPr>
          <w:p>
            <w:pPr>
              <w:spacing w:before="200" w:after="40"/>
              <w:jc w:val="center"/>
            </w:pPr>
            <w:r>
              <w:rPr>
                <w:b/>
                <w:color w:val="111111"/>
                <w:sz w:val="34"/>
              </w:rPr>
              <w:t>-64%</w:t>
            </w:r>
          </w:p>
        </w:tc>
      </w:tr>
      <w:tr>
        <w:tc>
          <w:tcPr>
            <w:tcW w:type="dxa" w:w="1930"/>
            <w:shd w:val="clear" w:color="auto" w:fill="FFFFFF"/>
            <w:tcBorders>
              <w:top w:val="single" w:sz="4" w:space="0" w:color="D1D5DB"/>
              <w:left w:val="single" w:sz="4" w:space="0" w:color="D1D5DB"/>
              <w:bottom w:val="single" w:sz="4" w:space="0" w:color="D1D5DB"/>
              <w:right w:val="single" w:sz="4" w:space="0" w:color="D1D5DB"/>
            </w:tcBorders>
          </w:tcPr>
          <w:p>
            <w:pPr>
              <w:spacing w:before="0" w:after="200"/>
              <w:jc w:val="center"/>
            </w:pPr>
            <w:r>
              <w:rPr>
                <w:b/>
                <w:color w:val="6B7280"/>
                <w:sz w:val="14"/>
              </w:rPr>
              <w:t>Leads in</w:t>
              <w:br/>
              <w:t>First 30 Days</w:t>
            </w:r>
          </w:p>
        </w:tc>
        <w:tc>
          <w:tcPr>
            <w:tcW w:type="dxa" w:w="1930"/>
            <w:shd w:val="clear" w:color="auto" w:fill="FFFFFF"/>
            <w:tcBorders>
              <w:top w:val="single" w:sz="4" w:space="0" w:color="D1D5DB"/>
              <w:left w:val="single" w:sz="4" w:space="0" w:color="D1D5DB"/>
              <w:bottom w:val="single" w:sz="4" w:space="0" w:color="D1D5DB"/>
              <w:right w:val="single" w:sz="4" w:space="0" w:color="D1D5DB"/>
            </w:tcBorders>
          </w:tcPr>
          <w:p>
            <w:pPr>
              <w:spacing w:before="0" w:after="200"/>
              <w:jc w:val="center"/>
            </w:pPr>
            <w:r>
              <w:rPr>
                <w:b/>
                <w:color w:val="6B7280"/>
                <w:sz w:val="14"/>
              </w:rPr>
              <w:t>Blended</w:t>
              <w:br/>
              <w:t>Cost Per Lead</w:t>
            </w:r>
          </w:p>
        </w:tc>
        <w:tc>
          <w:tcPr>
            <w:tcW w:type="dxa" w:w="1930"/>
            <w:shd w:val="clear" w:color="auto" w:fill="FFFFFF"/>
            <w:tcBorders>
              <w:top w:val="single" w:sz="4" w:space="0" w:color="D1D5DB"/>
              <w:left w:val="single" w:sz="4" w:space="0" w:color="D1D5DB"/>
              <w:bottom w:val="single" w:sz="4" w:space="0" w:color="D1D5DB"/>
              <w:right w:val="single" w:sz="4" w:space="0" w:color="D1D5DB"/>
            </w:tcBorders>
          </w:tcPr>
          <w:p>
            <w:pPr>
              <w:spacing w:before="0" w:after="200"/>
              <w:jc w:val="center"/>
            </w:pPr>
            <w:r>
              <w:rPr>
                <w:b/>
                <w:color w:val="6B7280"/>
                <w:sz w:val="14"/>
              </w:rPr>
              <w:t>Leads in</w:t>
              <w:br/>
              <w:t>One Day (Peak)</w:t>
            </w:r>
          </w:p>
        </w:tc>
        <w:tc>
          <w:tcPr>
            <w:tcW w:type="dxa" w:w="1930"/>
            <w:shd w:val="clear" w:color="auto" w:fill="FFFFFF"/>
            <w:tcBorders>
              <w:top w:val="single" w:sz="4" w:space="0" w:color="D1D5DB"/>
              <w:left w:val="single" w:sz="4" w:space="0" w:color="D1D5DB"/>
              <w:bottom w:val="single" w:sz="4" w:space="0" w:color="D1D5DB"/>
              <w:right w:val="single" w:sz="4" w:space="0" w:color="D1D5DB"/>
            </w:tcBorders>
          </w:tcPr>
          <w:p>
            <w:pPr>
              <w:spacing w:before="0" w:after="200"/>
              <w:jc w:val="center"/>
            </w:pPr>
            <w:r>
              <w:rPr>
                <w:b/>
                <w:color w:val="6B7280"/>
                <w:sz w:val="14"/>
              </w:rPr>
              <w:t>Leads Per</w:t>
              <w:br/>
              <w:t>Day Average</w:t>
            </w:r>
          </w:p>
        </w:tc>
        <w:tc>
          <w:tcPr>
            <w:tcW w:type="dxa" w:w="1930"/>
            <w:shd w:val="clear" w:color="auto" w:fill="FFFFFF"/>
            <w:tcBorders>
              <w:top w:val="single" w:sz="4" w:space="0" w:color="D1D5DB"/>
              <w:left w:val="single" w:sz="4" w:space="0" w:color="D1D5DB"/>
              <w:bottom w:val="single" w:sz="4" w:space="0" w:color="D1D5DB"/>
              <w:right w:val="single" w:sz="4" w:space="0" w:color="D1D5DB"/>
            </w:tcBorders>
          </w:tcPr>
          <w:p>
            <w:pPr>
              <w:spacing w:before="0" w:after="200"/>
              <w:jc w:val="center"/>
            </w:pPr>
            <w:r>
              <w:rPr>
                <w:b/>
                <w:color w:val="6B7280"/>
                <w:sz w:val="14"/>
              </w:rPr>
              <w:t>CPL Drop</w:t>
              <w:br/>
              <w:t>Week 1→4</w:t>
            </w:r>
          </w:p>
        </w:tc>
      </w:tr>
    </w:tbl>
    <w:p/>
    <w:p>
      <w:pPr>
        <w:spacing w:before="360" w:after="80"/>
        <w:pBdr>
          <w:bottom w:val="single" w:sz="6" w:space="1" w:color="E5E7EB"/>
        </w:pBdr>
      </w:pPr>
      <w:r>
        <w:rPr>
          <w:b/>
          <w:color w:val="111111"/>
          <w:sz w:val="32"/>
        </w:rPr>
        <w:t>The Challenge</w:t>
      </w:r>
    </w:p>
    <w:p>
      <w:pPr>
        <w:spacing w:after="120" w:before="0"/>
        <w:jc w:val="both"/>
      </w:pPr>
      <w:r>
        <w:rPr>
          <w:color w:val="111111"/>
          <w:sz w:val="20"/>
        </w:rPr>
        <w:t>The client operates in the medical device space, selling a proprietary ear care solution to clinical practices. Unlike consumer-facing products, B2B medical device marketing on Meta presents a unique set of challenges: the audience is narrow and professional, the purchase decision involves multiple stakeholders, and the platform's algorithm is not natively optimized for healthcare provider targeting.</w:t>
      </w:r>
    </w:p>
    <w:p>
      <w:pPr>
        <w:spacing w:after="120" w:before="0"/>
        <w:jc w:val="both"/>
      </w:pPr>
      <w:r>
        <w:rPr>
          <w:color w:val="111111"/>
          <w:sz w:val="20"/>
        </w:rPr>
        <w:t>The primary challenges were threefold. First, reaching the right decision-makers—nurses, physicians, and practice managers—within a fragmented healthcare landscape required precise creative messaging rather than broad demographic targeting. Second, the product addressed a procedural pain point that many providers had normalized, meaning the ads needed to reframe the problem before presenting the solution. Third, the B2B sales cycle for medical devices is longer than consumer purchases, requiring a lead qualification system that could identify high-intent prospects while maintaining volume.</w:t>
      </w:r>
    </w:p>
    <w:p>
      <w:r>
        <w:br w:type="page"/>
      </w:r>
    </w:p>
    <w:p>
      <w:pPr>
        <w:spacing w:after="320"/>
        <w:jc w:val="right"/>
      </w:pPr>
      <w:r>
        <w:rPr>
          <w:i/>
          <w:color w:val="6B7280"/>
          <w:sz w:val="15"/>
        </w:rPr>
        <w:t>Case Study — Medical Device Client</w:t>
      </w:r>
    </w:p>
    <w:p>
      <w:pPr>
        <w:spacing w:before="360" w:after="80"/>
        <w:pBdr>
          <w:bottom w:val="single" w:sz="6" w:space="1" w:color="E5E7EB"/>
        </w:pBdr>
      </w:pPr>
      <w:r>
        <w:rPr>
          <w:b/>
          <w:color w:val="111111"/>
          <w:sz w:val="32"/>
        </w:rPr>
        <w:t>The Strategy</w:t>
      </w:r>
    </w:p>
    <w:p>
      <w:pPr>
        <w:spacing w:before="240" w:after="80"/>
      </w:pPr>
      <w:r>
        <w:rPr>
          <w:b/>
          <w:color w:val="2563EB"/>
          <w:sz w:val="20"/>
        </w:rPr>
        <w:t>Provider-First Creative Development</w:t>
      </w:r>
    </w:p>
    <w:p>
      <w:pPr>
        <w:spacing w:after="120" w:before="0"/>
        <w:jc w:val="both"/>
      </w:pPr>
      <w:r>
        <w:rPr>
          <w:color w:val="111111"/>
          <w:sz w:val="20"/>
        </w:rPr>
        <w:t>Rather than leading with product features, Team Secret Agents built a creative strategy grounded in the daily clinical experience of healthcare providers. Each video ad script opened with a hook that named a specific procedural frustration—time lost to cerumen removal, patient discomfort, the need for extra staff—before introducing the product as a solution. This approach was designed to create immediate recognition among target providers and lower the psychological barrier to engaging with a medical device ad on a consumer-facing platform.</w:t>
      </w:r>
    </w:p>
    <w:p>
      <w:pPr>
        <w:spacing w:before="240" w:after="80"/>
      </w:pPr>
      <w:r>
        <w:rPr>
          <w:b/>
          <w:color w:val="2563EB"/>
          <w:sz w:val="20"/>
        </w:rPr>
        <w:t>Campaign Batch 1: Family Practice &amp; Urgent Care (January–February 2026)</w:t>
      </w:r>
    </w:p>
    <w:p>
      <w:pPr>
        <w:spacing w:after="120" w:before="0"/>
        <w:jc w:val="both"/>
      </w:pPr>
      <w:r>
        <w:rPr>
          <w:color w:val="111111"/>
          <w:sz w:val="20"/>
        </w:rPr>
        <w:t>The first campaign batch targeted family practice physicians and urgent care providers, the broadest segment of the client's addressable market. The creative featured 10 distinct hooks covering the full spectrum of cerumen removal pain points, from time efficiency and patient safety to procedural complexity and staff burden. The campaign launched in late January 2026 and immediately demonstrated strong performance: 6 conversions in the first partial week, scaling to 32 conversions per week by week two.</w:t>
      </w:r>
    </w:p>
    <w:p>
      <w:pPr>
        <w:spacing w:before="160" w:after="160"/>
        <w:ind w:left="216" w:right="144"/>
        <w:pBdr>
          <w:left w:val="single" w:sz="18" w:space="8" w:color="2563EB"/>
        </w:pBdr>
        <w:shd w:val="clear" w:color="auto" w:fill="EFF6FF"/>
      </w:pPr>
      <w:r>
        <w:rPr>
          <w:i/>
          <w:color w:val="374151"/>
          <w:sz w:val="18"/>
        </w:rPr>
        <w:t>"These are approved to use. What are the next steps for you and what do we need to do from our end?" — Client Email, January 26, 2026</w:t>
      </w:r>
    </w:p>
    <w:p>
      <w:pPr>
        <w:spacing w:before="240" w:after="80"/>
      </w:pPr>
      <w:r>
        <w:rPr>
          <w:b/>
          <w:color w:val="2563EB"/>
          <w:sz w:val="20"/>
        </w:rPr>
        <w:t>Campaign Batch 2: Pediatricians (February 2026)</w:t>
      </w:r>
    </w:p>
    <w:p>
      <w:pPr>
        <w:spacing w:after="120" w:before="0"/>
        <w:jc w:val="both"/>
      </w:pPr>
      <w:r>
        <w:rPr>
          <w:color w:val="111111"/>
          <w:sz w:val="20"/>
        </w:rPr>
        <w:t>Building on the success of the first batch, the team developed a second creative suite specifically targeting pediatricians—a high-value segment for the client's lighted micro-suction product, given the frequency of ear-related visits in pediatric practices. The pediatric-focused scripts emphasized child comfort, parent confidence, and the efficiency gains of a single-handed, self-illuminating device. This batch launched in February 2026 and contributed significantly to the accelerating lead volume observed in weeks three and four.</w:t>
      </w:r>
    </w:p>
    <w:p>
      <w:pPr>
        <w:spacing w:before="240" w:after="80"/>
      </w:pPr>
      <w:r>
        <w:rPr>
          <w:b/>
          <w:color w:val="2563EB"/>
          <w:sz w:val="20"/>
        </w:rPr>
        <w:t>Iterative Video Refinement</w:t>
      </w:r>
    </w:p>
    <w:p>
      <w:pPr>
        <w:spacing w:after="120" w:before="0"/>
        <w:jc w:val="both"/>
      </w:pPr>
      <w:r>
        <w:rPr>
          <w:color w:val="111111"/>
          <w:sz w:val="20"/>
        </w:rPr>
        <w:t>A distinctive feature of this engagement was the client's active involvement in the creative review process. The team went through multiple rounds of video revision based on detailed feedback from the client's marketing team, ensuring that product depictions—including the handling of the device, clinical settings, and procedural accuracy—met the company's standards. This iterative process, while adding time to the pre-launch phase, resulted in a final creative suite that the client's team described as being on a good path and approved for immediate deployment.</w:t>
      </w:r>
    </w:p>
    <w:p>
      <w:pPr>
        <w:spacing w:before="160" w:after="160"/>
        <w:ind w:left="216" w:right="144"/>
        <w:pBdr>
          <w:left w:val="single" w:sz="18" w:space="8" w:color="2563EB"/>
        </w:pBdr>
        <w:shd w:val="clear" w:color="auto" w:fill="EFF6FF"/>
      </w:pPr>
      <w:r>
        <w:rPr>
          <w:i/>
          <w:color w:val="374151"/>
          <w:sz w:val="18"/>
        </w:rPr>
        <w:t>"Luana &amp; team, Thank you for the updates. I think we're on a good path now." — Client Email, January 2026</w:t>
      </w:r>
    </w:p>
    <w:p>
      <w:pPr>
        <w:spacing w:before="240" w:after="80"/>
      </w:pPr>
      <w:r>
        <w:rPr>
          <w:b/>
          <w:color w:val="2563EB"/>
          <w:sz w:val="20"/>
        </w:rPr>
        <w:t>Lead Form Design &amp; Real-Time Delivery</w:t>
      </w:r>
    </w:p>
    <w:p>
      <w:pPr>
        <w:spacing w:after="120" w:before="0"/>
        <w:jc w:val="both"/>
      </w:pPr>
      <w:r>
        <w:rPr>
          <w:color w:val="111111"/>
          <w:sz w:val="20"/>
        </w:rPr>
        <w:t>All campaigns used Meta native lead forms with qualifying questions tailored to the medical device context. Each lead was asked to identify their practice name, describe their current cerumen removal method (irrigation, curettage, combination, manual/micro-suction, or other), and indicate their purchase intent timeline (immediately, within 1–2 months, within 3–6 months, or just exploring). This data allowed the client's sales team to prioritize outreach by intent level. Leads were delivered in real time to a dedicated Slack channel via Zapier integration, ensuring zero delay between form submission and sales team notification.</w:t>
      </w:r>
    </w:p>
    <w:p>
      <w:r>
        <w:br w:type="page"/>
      </w:r>
    </w:p>
    <w:p>
      <w:pPr>
        <w:spacing w:after="320"/>
        <w:jc w:val="right"/>
      </w:pPr>
      <w:r>
        <w:rPr>
          <w:i/>
          <w:color w:val="6B7280"/>
          <w:sz w:val="15"/>
        </w:rPr>
        <w:t>Case Study — Medical Device Client</w:t>
      </w:r>
    </w:p>
    <w:p>
      <w:pPr>
        <w:spacing w:before="360" w:after="80"/>
        <w:pBdr>
          <w:bottom w:val="single" w:sz="6" w:space="1" w:color="E5E7EB"/>
        </w:pBdr>
      </w:pPr>
      <w:r>
        <w:rPr>
          <w:b/>
          <w:color w:val="111111"/>
          <w:sz w:val="32"/>
        </w:rPr>
        <w:t>Multi-Hook Testing Framework</w:t>
      </w:r>
    </w:p>
    <w:p>
      <w:pPr>
        <w:spacing w:after="120" w:before="0"/>
        <w:jc w:val="both"/>
      </w:pPr>
      <w:r>
        <w:rPr>
          <w:color w:val="111111"/>
          <w:sz w:val="20"/>
        </w:rPr>
        <w:t>Each campaign batch launched with 10 unique hooks, allowing the team to simultaneously test empathy-driven, efficiency-driven, and safety-driven messaging angles. By monitoring performance data in real time, underperforming hooks were paused and budget was concentrated on top performers. This approach compressed the optimization cycle from weeks to days, driving the cost per lead from $22.58 in week one to $8.16 by week four—a 64% improvement. The hooks for the Family Practice &amp; Urgent Care batch covered the full range of clinical pain points:</w:t>
      </w:r>
    </w:p>
    <w:tbl>
      <w:tblPr>
        <w:tblStyle w:val="TableGrid"/>
        <w:tblW w:type="auto" w:w="0"/>
        <w:jc w:val="left"/>
        <w:tblLook w:firstColumn="1" w:firstRow="1" w:lastColumn="0" w:lastRow="0" w:noHBand="0" w:noVBand="1" w:val="04A0"/>
      </w:tblPr>
      <w:tblGrid>
        <w:gridCol w:w="1296"/>
        <w:gridCol w:w="7632"/>
      </w:tblGrid>
      <w:tr>
        <w:tc>
          <w:tcPr>
            <w:tcW w:type="dxa" w:w="4824"/>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7"/>
              </w:rPr>
              <w:t>Hook</w:t>
            </w:r>
          </w:p>
        </w:tc>
        <w:tc>
          <w:tcPr>
            <w:tcW w:type="dxa" w:w="4824"/>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7"/>
              </w:rPr>
              <w:t>Pain Point Addressed</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Hook 1</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Time and effort lost to cerumen removal putting schedules behind</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Hook 2</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Curettage slowing down patient flow in the practice</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Hook 3</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Patient safety and comfort during long, awkward cerumen removal</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Hook 4</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Needing both hands and extra staff just to clean one ear</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Hook 5</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Extra time managing cleanup during ear irrigation</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Hook 6</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Cerumen removal being the most complicated part of the day</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Hook 7</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Making cerumen removal comfortable and efficient for team and patients</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Hook 8</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Cerumen removal being as streamlined as any other procedure</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Hook 9</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Needing a tool designed for speed, safety, and simplicity</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Hook 10</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Enhancing clinical efficiency with a cleaner, safer professional system</w:t>
            </w:r>
          </w:p>
        </w:tc>
      </w:tr>
    </w:tbl>
    <w:p/>
    <w:p>
      <w:pPr>
        <w:spacing w:before="360" w:after="80"/>
        <w:pBdr>
          <w:bottom w:val="single" w:sz="6" w:space="1" w:color="E5E7EB"/>
        </w:pBdr>
      </w:pPr>
      <w:r>
        <w:rPr>
          <w:b/>
          <w:color w:val="111111"/>
          <w:sz w:val="32"/>
        </w:rPr>
        <w:t>Lead Velocity &amp; Volume</w:t>
      </w:r>
    </w:p>
    <w:p>
      <w:pPr>
        <w:spacing w:after="120" w:before="0"/>
        <w:jc w:val="both"/>
      </w:pPr>
      <w:r>
        <w:rPr>
          <w:color w:val="111111"/>
          <w:sz w:val="20"/>
        </w:rPr>
        <w:t>One of the most notable aspects of this campaign was the speed at which leads were generated. From the moment the ads launched, leads began flowing into the client's Slack channel around the clock—including nights, weekends, and early morning hours. The Zapier-powered real-time notification system ensured that no lead sat uncontacted for more than a few hours during business hours.</w:t>
      </w:r>
    </w:p>
    <w:p>
      <w:pPr>
        <w:spacing w:before="240" w:after="80"/>
      </w:pPr>
      <w:r>
        <w:rPr>
          <w:b/>
          <w:color w:val="2563EB"/>
          <w:sz w:val="20"/>
        </w:rPr>
        <w:t>Weekly Lead Volume (Ad Stats)</w:t>
      </w:r>
    </w:p>
    <w:tbl>
      <w:tblPr>
        <w:tblStyle w:val="TableGrid"/>
        <w:tblW w:type="auto" w:w="0"/>
        <w:tblLook w:firstColumn="1" w:firstRow="1" w:lastColumn="0" w:lastRow="0" w:noHBand="0" w:noVBand="1" w:val="04A0"/>
      </w:tblPr>
      <w:tblGrid>
        <w:gridCol w:w="2160"/>
        <w:gridCol w:w="1224"/>
        <w:gridCol w:w="1080"/>
        <w:gridCol w:w="864"/>
        <w:gridCol w:w="792"/>
        <w:gridCol w:w="1008"/>
        <w:gridCol w:w="936"/>
      </w:tblGrid>
      <w:tr>
        <w:tc>
          <w:tcPr>
            <w:tcW w:type="dxa" w:w="1378"/>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6"/>
              </w:rPr>
              <w:t>Week</w:t>
            </w:r>
          </w:p>
        </w:tc>
        <w:tc>
          <w:tcPr>
            <w:tcW w:type="dxa" w:w="1378"/>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6"/>
              </w:rPr>
              <w:t>Impressions</w:t>
            </w:r>
          </w:p>
        </w:tc>
        <w:tc>
          <w:tcPr>
            <w:tcW w:type="dxa" w:w="1378"/>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6"/>
              </w:rPr>
              <w:t>Ad Spend</w:t>
            </w:r>
          </w:p>
        </w:tc>
        <w:tc>
          <w:tcPr>
            <w:tcW w:type="dxa" w:w="1378"/>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6"/>
              </w:rPr>
              <w:t>Clicks</w:t>
            </w:r>
          </w:p>
        </w:tc>
        <w:tc>
          <w:tcPr>
            <w:tcW w:type="dxa" w:w="1378"/>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6"/>
              </w:rPr>
              <w:t>Leads</w:t>
            </w:r>
          </w:p>
        </w:tc>
        <w:tc>
          <w:tcPr>
            <w:tcW w:type="dxa" w:w="1378"/>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6"/>
              </w:rPr>
              <w:t>CPL</w:t>
            </w:r>
          </w:p>
        </w:tc>
        <w:tc>
          <w:tcPr>
            <w:tcW w:type="dxa" w:w="1378"/>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6"/>
              </w:rPr>
              <w:t>CPC</w:t>
            </w:r>
          </w:p>
        </w:tc>
      </w:tr>
      <w:tr>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Jan 26 – Feb 1, 2026</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3,213</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$135.45</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45</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6</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$22.58</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$3.01</w:t>
            </w:r>
          </w:p>
        </w:tc>
      </w:tr>
      <w:tr>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Feb 2 – Feb 8, 2026</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12,040</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$337.24</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215</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32</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$10.54</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$1.57</w:t>
            </w:r>
          </w:p>
        </w:tc>
      </w:tr>
      <w:tr>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Feb 9 – Feb 15, 2026</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12,037</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$337.24</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215</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32</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$10.54</w:t>
            </w:r>
          </w:p>
        </w:tc>
        <w:tc>
          <w:tcPr>
            <w:tcW w:type="dxa" w:w="1378"/>
            <w:shd w:val="clear" w:color="auto" w:fill="FFFFFF"/>
            <w:tcBorders>
              <w:top w:val="single" w:sz="4" w:space="0" w:color="E5E7EB"/>
              <w:left w:val="single" w:sz="4" w:space="0" w:color="E5E7EB"/>
              <w:bottom w:val="single" w:sz="4" w:space="0" w:color="E5E7EB"/>
              <w:right w:val="single" w:sz="4" w:space="0" w:color="E5E7EB"/>
            </w:tcBorders>
          </w:tcPr>
          <w:p>
            <w:r>
              <w:rPr>
                <w:color w:val="111111"/>
                <w:sz w:val="17"/>
              </w:rPr>
              <w:t>$1.57</w:t>
            </w:r>
          </w:p>
        </w:tc>
      </w:tr>
      <w:tr>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Feb 16 – Feb 22, 2026</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19,725</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$359.05</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314</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b/>
                <w:color w:val="111111"/>
                <w:sz w:val="17"/>
              </w:rPr>
              <w:t>44</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b/>
                <w:color w:val="111111"/>
                <w:sz w:val="17"/>
              </w:rPr>
              <w:t>$8.16</w:t>
            </w:r>
          </w:p>
        </w:tc>
        <w:tc>
          <w:tcPr>
            <w:tcW w:type="dxa" w:w="1378"/>
            <w:shd w:val="clear" w:color="auto" w:fill="F9FAFB"/>
            <w:tcBorders>
              <w:top w:val="single" w:sz="4" w:space="0" w:color="E5E7EB"/>
              <w:left w:val="single" w:sz="4" w:space="0" w:color="E5E7EB"/>
              <w:bottom w:val="single" w:sz="4" w:space="0" w:color="E5E7EB"/>
              <w:right w:val="single" w:sz="4" w:space="0" w:color="E5E7EB"/>
            </w:tcBorders>
          </w:tcPr>
          <w:p>
            <w:r>
              <w:rPr>
                <w:color w:val="111111"/>
                <w:sz w:val="17"/>
              </w:rPr>
              <w:t>$1.14</w:t>
            </w:r>
          </w:p>
        </w:tc>
      </w:tr>
    </w:tbl>
    <w:p/>
    <w:p>
      <w:pPr>
        <w:spacing w:before="240" w:after="80"/>
      </w:pPr>
      <w:r>
        <w:rPr>
          <w:b/>
          <w:color w:val="2563EB"/>
          <w:sz w:val="20"/>
        </w:rPr>
        <w:t>Daily Lead Volume (Feb 22 – Mar 2, 2026)</w:t>
      </w:r>
    </w:p>
    <w:tbl>
      <w:tblPr>
        <w:tblStyle w:val="TableGrid"/>
        <w:tblW w:type="auto" w:w="0"/>
        <w:tblLook w:firstColumn="1" w:firstRow="1" w:lastColumn="0" w:lastRow="0" w:noHBand="0" w:noVBand="1" w:val="04A0"/>
      </w:tblPr>
      <w:tblGrid>
        <w:gridCol w:w="3600"/>
        <w:gridCol w:w="5328"/>
      </w:tblGrid>
      <w:tr>
        <w:tc>
          <w:tcPr>
            <w:tcW w:type="dxa" w:w="4824"/>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7"/>
              </w:rPr>
              <w:t>Date</w:t>
            </w:r>
          </w:p>
        </w:tc>
        <w:tc>
          <w:tcPr>
            <w:tcW w:type="dxa" w:w="4824"/>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7"/>
              </w:rPr>
              <w:t>Leads Received</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Feb 22, 2026</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12</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Feb 23, 2026</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16</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Feb 24, 2026</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13</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Feb 25, 2026</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12</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Feb 26, 2026</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10</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Feb 27, 2026</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14</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Feb 28, 2026</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1</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b/>
                <w:color w:val="111111"/>
                <w:sz w:val="18"/>
              </w:rPr>
              <w:t>Mar 1, 2026</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b/>
                <w:color w:val="111111"/>
                <w:sz w:val="18"/>
              </w:rPr>
              <w:t>18  ← Peak Day</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Mar 2, 2026</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4 (partial day)</w:t>
            </w:r>
          </w:p>
        </w:tc>
      </w:tr>
    </w:tbl>
    <w:p>
      <w:r>
        <w:br w:type="page"/>
      </w:r>
    </w:p>
    <w:p>
      <w:pPr>
        <w:spacing w:after="320"/>
        <w:jc w:val="right"/>
      </w:pPr>
      <w:r>
        <w:rPr>
          <w:i/>
          <w:color w:val="6B7280"/>
          <w:sz w:val="15"/>
        </w:rPr>
        <w:t>Case Study — Medical Device Client</w:t>
      </w:r>
    </w:p>
    <w:p>
      <w:pPr>
        <w:spacing w:before="360" w:after="80"/>
        <w:pBdr>
          <w:bottom w:val="single" w:sz="6" w:space="1" w:color="E5E7EB"/>
        </w:pBdr>
      </w:pPr>
      <w:r>
        <w:rPr>
          <w:b/>
          <w:color w:val="111111"/>
          <w:sz w:val="32"/>
        </w:rPr>
        <w:t>The Results</w:t>
      </w:r>
    </w:p>
    <w:p>
      <w:pPr>
        <w:spacing w:after="120" w:before="0"/>
        <w:jc w:val="both"/>
      </w:pPr>
      <w:r>
        <w:rPr>
          <w:color w:val="111111"/>
          <w:sz w:val="20"/>
        </w:rPr>
        <w:t>Across the first 30 days of active campaigning (February 1 – March 2, 2026), the engagement delivered 172+ qualified leads to the client's sales pipeline at a blended cost of approximately $6.79 per lead—well below industry benchmarks for B2B medical device lead generation. The campaign's performance improved significantly week over week, with impressions growing 514% and cost per lead falling 64% from the first to the fourth week of tracked data.</w:t>
      </w:r>
    </w:p>
    <w:p>
      <w:pPr>
        <w:spacing w:before="240" w:after="80"/>
      </w:pPr>
      <w:r>
        <w:rPr>
          <w:b/>
          <w:color w:val="2563EB"/>
          <w:sz w:val="20"/>
        </w:rPr>
        <w:t>Overall Performance</w:t>
      </w:r>
    </w:p>
    <w:tbl>
      <w:tblPr>
        <w:tblStyle w:val="TableGrid"/>
        <w:tblW w:type="auto" w:w="0"/>
        <w:tblLook w:firstColumn="1" w:firstRow="1" w:lastColumn="0" w:lastRow="0" w:noHBand="0" w:noVBand="1" w:val="04A0"/>
      </w:tblPr>
      <w:tblGrid>
        <w:gridCol w:w="6048"/>
        <w:gridCol w:w="2880"/>
      </w:tblGrid>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Total Leads Generated (Feb 1 – Mar 2, 2026)</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pPr>
              <w:jc w:val="right"/>
            </w:pPr>
            <w:r>
              <w:rPr>
                <w:b/>
                <w:color w:val="111111"/>
                <w:sz w:val="18"/>
              </w:rPr>
              <w:t>172+</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Total Ad Spend (4 tracked weeks)</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pPr>
              <w:jc w:val="right"/>
            </w:pPr>
            <w:r>
              <w:rPr>
                <w:b/>
                <w:color w:val="111111"/>
                <w:sz w:val="18"/>
              </w:rPr>
              <w:t>~$1,169</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Blended Cost Per Lead</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pPr>
              <w:jc w:val="right"/>
            </w:pPr>
            <w:r>
              <w:rPr>
                <w:b/>
                <w:color w:val="111111"/>
                <w:sz w:val="18"/>
              </w:rPr>
              <w:t>~$6.79</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Cost Per Lead — Week 1</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pPr>
              <w:jc w:val="right"/>
            </w:pPr>
            <w:r>
              <w:rPr>
                <w:b/>
                <w:color w:val="111111"/>
                <w:sz w:val="18"/>
              </w:rPr>
              <w:t>$22.58</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Cost Per Lead — Week 4</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pPr>
              <w:jc w:val="right"/>
            </w:pPr>
            <w:r>
              <w:rPr>
                <w:b/>
                <w:color w:val="111111"/>
                <w:sz w:val="18"/>
              </w:rPr>
              <w:t>$8.16</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CPL Improvement (Week 1 → Week 4)</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pPr>
              <w:jc w:val="right"/>
            </w:pPr>
            <w:r>
              <w:rPr>
                <w:b/>
                <w:color w:val="111111"/>
                <w:sz w:val="18"/>
              </w:rPr>
              <w:t>-64%</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Peak Daily Lead Volume</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pPr>
              <w:jc w:val="right"/>
            </w:pPr>
            <w:r>
              <w:rPr>
                <w:b/>
                <w:color w:val="111111"/>
                <w:sz w:val="18"/>
              </w:rPr>
              <w:t>18 leads (Mar 1, 2026)</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Average Daily Lead Volume</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pPr>
              <w:jc w:val="right"/>
            </w:pPr>
            <w:r>
              <w:rPr>
                <w:b/>
                <w:color w:val="111111"/>
                <w:sz w:val="18"/>
              </w:rPr>
              <w:t>~5.7 leads/day</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Total Impressions (4 tracked weeks)</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pPr>
              <w:jc w:val="right"/>
            </w:pPr>
            <w:r>
              <w:rPr>
                <w:b/>
                <w:color w:val="111111"/>
                <w:sz w:val="18"/>
              </w:rPr>
              <w:t>47,015</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Impression Growth (Week 1 → Week 4)</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pPr>
              <w:jc w:val="right"/>
            </w:pPr>
            <w:r>
              <w:rPr>
                <w:b/>
                <w:color w:val="111111"/>
                <w:sz w:val="18"/>
              </w:rPr>
              <w:t>+514%</w:t>
            </w:r>
          </w:p>
        </w:tc>
      </w:tr>
      <w:tr>
        <w:tc>
          <w:tcPr>
            <w:tcW w:type="dxa" w:w="4824"/>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Geographic Coverage</w:t>
            </w:r>
          </w:p>
        </w:tc>
        <w:tc>
          <w:tcPr>
            <w:tcW w:type="dxa" w:w="4824"/>
            <w:shd w:val="clear" w:color="auto" w:fill="FFFFFF"/>
            <w:tcBorders>
              <w:top w:val="single" w:sz="4" w:space="0" w:color="E5E7EB"/>
              <w:left w:val="single" w:sz="4" w:space="0" w:color="E5E7EB"/>
              <w:bottom w:val="single" w:sz="4" w:space="0" w:color="E5E7EB"/>
              <w:right w:val="single" w:sz="4" w:space="0" w:color="E5E7EB"/>
            </w:tcBorders>
          </w:tcPr>
          <w:p>
            <w:pPr>
              <w:jc w:val="right"/>
            </w:pPr>
            <w:r>
              <w:rPr>
                <w:b/>
                <w:color w:val="111111"/>
                <w:sz w:val="18"/>
              </w:rPr>
              <w:t>National (all U.S. states)</w:t>
            </w:r>
          </w:p>
        </w:tc>
      </w:tr>
      <w:tr>
        <w:tc>
          <w:tcPr>
            <w:tcW w:type="dxa" w:w="4824"/>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Target Specialties</w:t>
            </w:r>
          </w:p>
        </w:tc>
        <w:tc>
          <w:tcPr>
            <w:tcW w:type="dxa" w:w="4824"/>
            <w:shd w:val="clear" w:color="auto" w:fill="F9FAFB"/>
            <w:tcBorders>
              <w:top w:val="single" w:sz="4" w:space="0" w:color="E5E7EB"/>
              <w:left w:val="single" w:sz="4" w:space="0" w:color="E5E7EB"/>
              <w:bottom w:val="single" w:sz="4" w:space="0" w:color="E5E7EB"/>
              <w:right w:val="single" w:sz="4" w:space="0" w:color="E5E7EB"/>
            </w:tcBorders>
          </w:tcPr>
          <w:p>
            <w:pPr>
              <w:jc w:val="right"/>
            </w:pPr>
            <w:r>
              <w:rPr>
                <w:b/>
                <w:color w:val="111111"/>
                <w:sz w:val="18"/>
              </w:rPr>
              <w:t>Pediatrics, Family Practice, Urgent Care, ENT</w:t>
            </w:r>
          </w:p>
        </w:tc>
      </w:tr>
    </w:tbl>
    <w:p/>
    <w:p>
      <w:pPr>
        <w:spacing w:before="240" w:after="80"/>
      </w:pPr>
      <w:r>
        <w:rPr>
          <w:b/>
          <w:color w:val="2563EB"/>
          <w:sz w:val="20"/>
        </w:rPr>
        <w:t>Lead Qualification Breakdown</w:t>
      </w:r>
    </w:p>
    <w:p>
      <w:pPr>
        <w:spacing w:after="120" w:before="0"/>
        <w:jc w:val="both"/>
      </w:pPr>
      <w:r>
        <w:rPr>
          <w:color w:val="111111"/>
          <w:sz w:val="20"/>
        </w:rPr>
        <w:t>The structured lead form provided rich qualification data alongside contact information. Among the leads captured in the Slack channel window (Feb 22 – Mar 2, 2026), the purchase intent distribution and current removal method breakdown were as follows:</w:t>
      </w:r>
    </w:p>
    <w:tbl>
      <w:tblPr>
        <w:tblStyle w:val="TableGrid"/>
        <w:tblW w:type="auto" w:w="0"/>
        <w:tblLook w:firstColumn="1" w:firstRow="1" w:lastColumn="0" w:lastRow="0" w:noHBand="0" w:noVBand="1" w:val="04A0"/>
      </w:tblPr>
      <w:tblGrid>
        <w:gridCol w:w="4608"/>
        <w:gridCol w:w="1440"/>
        <w:gridCol w:w="1440"/>
      </w:tblGrid>
      <w:tr>
        <w:tc>
          <w:tcPr>
            <w:tcW w:type="dxa" w:w="3216"/>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7"/>
              </w:rPr>
              <w:t>Category</w:t>
            </w:r>
          </w:p>
        </w:tc>
        <w:tc>
          <w:tcPr>
            <w:tcW w:type="dxa" w:w="3216"/>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7"/>
              </w:rPr>
              <w:t>Volume</w:t>
            </w:r>
          </w:p>
        </w:tc>
        <w:tc>
          <w:tcPr>
            <w:tcW w:type="dxa" w:w="3216"/>
            <w:shd w:val="clear" w:color="auto" w:fill="F3F4F6"/>
            <w:tcBorders>
              <w:top w:val="single" w:sz="4" w:space="0" w:color="D1D5DB"/>
              <w:left w:val="single" w:sz="4" w:space="0" w:color="D1D5DB"/>
              <w:bottom w:val="single" w:sz="4" w:space="0" w:color="D1D5DB"/>
              <w:right w:val="single" w:sz="4" w:space="0" w:color="D1D5DB"/>
            </w:tcBorders>
          </w:tcPr>
          <w:p>
            <w:r>
              <w:rPr>
                <w:b/>
                <w:color w:val="374151"/>
                <w:sz w:val="17"/>
              </w:rPr>
              <w:t>Share</w:t>
            </w:r>
          </w:p>
        </w:tc>
      </w:tr>
      <w:tr>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Purchase Intent — Immediately</w:t>
            </w:r>
          </w:p>
        </w:tc>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9 leads</w:t>
            </w:r>
          </w:p>
        </w:tc>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~13%</w:t>
            </w:r>
          </w:p>
        </w:tc>
      </w:tr>
      <w:tr>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Purchase Intent — Within 1–2 months</w:t>
            </w:r>
          </w:p>
        </w:tc>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6 leads</w:t>
            </w:r>
          </w:p>
        </w:tc>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~8%</w:t>
            </w:r>
          </w:p>
        </w:tc>
      </w:tr>
      <w:tr>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Purchase Intent — Within 3–6 months</w:t>
            </w:r>
          </w:p>
        </w:tc>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1 lead</w:t>
            </w:r>
          </w:p>
        </w:tc>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~1%</w:t>
            </w:r>
          </w:p>
        </w:tc>
      </w:tr>
      <w:tr>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Purchase Intent — Just Exploring</w:t>
            </w:r>
          </w:p>
        </w:tc>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11 leads</w:t>
            </w:r>
          </w:p>
        </w:tc>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~15%</w:t>
            </w:r>
          </w:p>
        </w:tc>
      </w:tr>
      <w:tr>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Current Method — Irrigation</w:t>
            </w:r>
          </w:p>
        </w:tc>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21 leads</w:t>
            </w:r>
          </w:p>
        </w:tc>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~30%</w:t>
            </w:r>
          </w:p>
        </w:tc>
      </w:tr>
      <w:tr>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Current Method — Combination</w:t>
            </w:r>
          </w:p>
        </w:tc>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36 leads</w:t>
            </w:r>
          </w:p>
        </w:tc>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~51%</w:t>
            </w:r>
          </w:p>
        </w:tc>
      </w:tr>
      <w:tr>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Current Method — Curettage</w:t>
            </w:r>
          </w:p>
        </w:tc>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11 leads</w:t>
            </w:r>
          </w:p>
        </w:tc>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~15%</w:t>
            </w:r>
          </w:p>
        </w:tc>
      </w:tr>
      <w:tr>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Current Method — Manual/Micro-suction</w:t>
            </w:r>
          </w:p>
        </w:tc>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1 lead</w:t>
            </w:r>
          </w:p>
        </w:tc>
        <w:tc>
          <w:tcPr>
            <w:tcW w:type="dxa" w:w="3216"/>
            <w:shd w:val="clear" w:color="auto" w:fill="F9FAFB"/>
            <w:tcBorders>
              <w:top w:val="single" w:sz="4" w:space="0" w:color="E5E7EB"/>
              <w:left w:val="single" w:sz="4" w:space="0" w:color="E5E7EB"/>
              <w:bottom w:val="single" w:sz="4" w:space="0" w:color="E5E7EB"/>
              <w:right w:val="single" w:sz="4" w:space="0" w:color="E5E7EB"/>
            </w:tcBorders>
          </w:tcPr>
          <w:p>
            <w:r>
              <w:rPr>
                <w:color w:val="111111"/>
                <w:sz w:val="18"/>
              </w:rPr>
              <w:t>~1%</w:t>
            </w:r>
          </w:p>
        </w:tc>
      </w:tr>
      <w:tr>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Current Method — Other</w:t>
            </w:r>
          </w:p>
        </w:tc>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2 leads</w:t>
            </w:r>
          </w:p>
        </w:tc>
        <w:tc>
          <w:tcPr>
            <w:tcW w:type="dxa" w:w="3216"/>
            <w:shd w:val="clear" w:color="auto" w:fill="FFFFFF"/>
            <w:tcBorders>
              <w:top w:val="single" w:sz="4" w:space="0" w:color="E5E7EB"/>
              <w:left w:val="single" w:sz="4" w:space="0" w:color="E5E7EB"/>
              <w:bottom w:val="single" w:sz="4" w:space="0" w:color="E5E7EB"/>
              <w:right w:val="single" w:sz="4" w:space="0" w:color="E5E7EB"/>
            </w:tcBorders>
          </w:tcPr>
          <w:p>
            <w:r>
              <w:rPr>
                <w:color w:val="111111"/>
                <w:sz w:val="18"/>
              </w:rPr>
              <w:t>~3%</w:t>
            </w:r>
          </w:p>
        </w:tc>
      </w:tr>
    </w:tbl>
    <w:p>
      <w:r>
        <w:br w:type="page"/>
      </w:r>
    </w:p>
    <w:p>
      <w:pPr>
        <w:spacing w:after="320"/>
        <w:jc w:val="right"/>
      </w:pPr>
      <w:r>
        <w:rPr>
          <w:i/>
          <w:color w:val="6B7280"/>
          <w:sz w:val="15"/>
        </w:rPr>
        <w:t>Case Study — Medical Device Client</w:t>
      </w:r>
    </w:p>
    <w:p>
      <w:pPr>
        <w:spacing w:before="360" w:after="80"/>
        <w:pBdr>
          <w:bottom w:val="single" w:sz="6" w:space="1" w:color="E5E7EB"/>
        </w:pBdr>
      </w:pPr>
      <w:r>
        <w:rPr>
          <w:b/>
          <w:color w:val="111111"/>
          <w:sz w:val="32"/>
        </w:rPr>
        <w:t>Industry Context</w:t>
      </w:r>
    </w:p>
    <w:p>
      <w:pPr>
        <w:spacing w:after="120" w:before="0"/>
        <w:jc w:val="both"/>
      </w:pPr>
      <w:r>
        <w:rPr>
          <w:color w:val="111111"/>
          <w:sz w:val="20"/>
        </w:rPr>
        <w:t>B2B medical device marketing on Meta is an emerging and underutilized channel. Most medical device companies rely on trade shows, distributor networks, and direct sales teams to reach clinical buyers—channels that are expensive, slow, and difficult to scale. Meta's platform, while traditionally associated with consumer marketing, offers a significant opportunity for medical device brands willing to invest in precise, problem-aware creative that speaks directly to the clinical experience of healthcare providers.</w:t>
      </w:r>
    </w:p>
    <w:p>
      <w:pPr>
        <w:spacing w:after="120" w:before="0"/>
        <w:jc w:val="both"/>
      </w:pPr>
      <w:r>
        <w:rPr>
          <w:color w:val="111111"/>
          <w:sz w:val="20"/>
        </w:rPr>
        <w:t>The cost-per-lead benchmarks achieved in this engagement—$8.16 per lead by week four—compare favorably to the cost of trade show attendance or outbound sales prospecting, where the cost per qualified contact can range from $50 to several hundred dollars. The ability to generate 172+ qualified leads in 30 days, with full contact information and purchase intent data, represents a meaningful shift in how medical device companies can approach market development.</w:t>
      </w:r>
    </w:p>
    <w:p>
      <w:pPr>
        <w:spacing w:before="360" w:after="80"/>
        <w:pBdr>
          <w:bottom w:val="single" w:sz="6" w:space="1" w:color="E5E7EB"/>
        </w:pBdr>
      </w:pPr>
      <w:r>
        <w:rPr>
          <w:b/>
          <w:color w:val="111111"/>
          <w:sz w:val="32"/>
        </w:rPr>
        <w:t>Key Takeaways</w:t>
      </w:r>
    </w:p>
    <w:p>
      <w:pPr>
        <w:spacing w:after="120" w:before="0"/>
        <w:jc w:val="both"/>
      </w:pPr>
      <w:r>
        <w:rPr>
          <w:b w:val="0"/>
          <w:color w:val="111111"/>
          <w:sz w:val="20"/>
        </w:rPr>
        <w:t>This engagement demonstrated that Meta can be a highly effective channel for B2B medical device lead generation when the creative strategy is built around clinical pain points rather than product specifications.</w:t>
      </w:r>
    </w:p>
    <w:p>
      <w:pPr>
        <w:spacing w:after="120" w:before="0"/>
        <w:jc w:val="both"/>
      </w:pPr>
      <w:r>
        <w:rPr>
          <w:b/>
          <w:color w:val="111111"/>
          <w:sz w:val="20"/>
        </w:rPr>
        <w:t>Speed of lead delivery is a competitive advantage.</w:t>
      </w:r>
      <w:r>
        <w:rPr>
          <w:b w:val="0"/>
          <w:color w:val="111111"/>
          <w:sz w:val="20"/>
        </w:rPr>
        <w:t xml:space="preserve"> The real-time Zapier-to-Slack pipeline ensured that every lead was visible to the sales team within seconds of form submission, enabling same-day follow-up and maximizing the value of each contact.</w:t>
      </w:r>
    </w:p>
    <w:p>
      <w:pPr>
        <w:spacing w:after="120" w:before="0"/>
        <w:jc w:val="both"/>
      </w:pPr>
      <w:r>
        <w:rPr>
          <w:b/>
          <w:color w:val="111111"/>
          <w:sz w:val="20"/>
        </w:rPr>
        <w:t>Volume and quality improve together over time.</w:t>
      </w:r>
      <w:r>
        <w:rPr>
          <w:b w:val="0"/>
          <w:color w:val="111111"/>
          <w:sz w:val="20"/>
        </w:rPr>
        <w:t xml:space="preserve"> The campaign's performance trajectory—from 6 leads in week one to 44 leads in week four, with CPL falling 64%—illustrates the compounding effect of iterative creative optimization. As the algorithm learned which hooks and audiences performed best, both volume and efficiency improved simultaneously.</w:t>
      </w:r>
    </w:p>
    <w:p>
      <w:pPr>
        <w:spacing w:after="120" w:before="0"/>
        <w:jc w:val="both"/>
      </w:pPr>
      <w:r>
        <w:rPr>
          <w:b/>
          <w:color w:val="111111"/>
          <w:sz w:val="20"/>
        </w:rPr>
        <w:t>Niche B2B audiences respond to specificity.</w:t>
      </w:r>
      <w:r>
        <w:rPr>
          <w:b w:val="0"/>
          <w:color w:val="111111"/>
          <w:sz w:val="20"/>
        </w:rPr>
        <w:t xml:space="preserve"> The most effective hooks in this campaign were those that named a precise clinical scenario—not generic efficiency claims, but specific procedural frustrations that providers recognized from their daily practice. This level of specificity is only achievable when the creative team has a deep understanding of the target audience's workflow.</w:t>
      </w:r>
    </w:p>
    <w:p>
      <w:pPr>
        <w:spacing w:after="120" w:before="0"/>
        <w:jc w:val="both"/>
      </w:pPr>
      <w:r>
        <w:rPr>
          <w:b/>
          <w:color w:val="111111"/>
          <w:sz w:val="20"/>
        </w:rPr>
        <w:t>Creative accuracy matters in regulated industries.</w:t>
      </w:r>
      <w:r>
        <w:rPr>
          <w:b w:val="0"/>
          <w:color w:val="111111"/>
          <w:sz w:val="20"/>
        </w:rPr>
        <w:t xml:space="preserve"> The iterative video review process, while time-intensive, was essential to building client trust and ensuring that the ads accurately represented the product in a clinical context. For medical device clients, creative accuracy is not just a preference—it is a regulatory and reputational requirement.</w:t>
      </w:r>
    </w:p>
    <w:p>
      <w:pPr>
        <w:spacing w:before="360" w:after="80"/>
        <w:pBdr>
          <w:bottom w:val="single" w:sz="6" w:space="1" w:color="E5E7EB"/>
        </w:pBdr>
      </w:pPr>
      <w:r>
        <w:rPr>
          <w:b/>
          <w:color w:val="111111"/>
          <w:sz w:val="32"/>
        </w:rPr>
        <w:t>Methodology</w:t>
      </w:r>
    </w:p>
    <w:p>
      <w:pPr>
        <w:spacing w:after="120" w:before="0"/>
        <w:jc w:val="both"/>
      </w:pPr>
      <w:r>
        <w:rPr>
          <w:color w:val="111111"/>
          <w:sz w:val="20"/>
        </w:rPr>
        <w:t>The engagement followed a structured process from discovery through optimization. The team began with a creative briefing phase in which the client's marketing team provided product specifications, clinical use cases, and target audience profiles. Script development followed, with AI-assisted writing producing 10 hook variations per batch, reviewed and refined by the team's copywriters and approved by the client before production.</w:t>
      </w:r>
    </w:p>
    <w:p>
      <w:pPr>
        <w:spacing w:after="120" w:before="0"/>
        <w:jc w:val="both"/>
      </w:pPr>
      <w:r>
        <w:rPr>
          <w:color w:val="111111"/>
          <w:sz w:val="20"/>
        </w:rPr>
        <w:t>Video production was managed through the team's internal pipeline, with each batch requiring multiple revision rounds to meet the client's clinical accuracy standards. Upon final approval, the ads were configured in Meta Ads Manager with lead forms built to the client's specifications. A Zapier automation was set up to route incoming leads in real time to the client's dedicated Slack channel, ensuring immediate visibility for the sales team. Performance data was reviewed weekly, with underperforming ad variants paused and budget reallocated to top performers on an ongoing basis.</w:t>
      </w:r>
    </w:p>
    <w:p>
      <w:pPr>
        <w:spacing w:before="480"/>
      </w:pPr>
      <w:r>
        <w:rPr>
          <w:i/>
          <w:color w:val="6B7280"/>
          <w:sz w:val="16"/>
        </w:rPr>
        <w:t>Prepared by Team Secret Agents | teamsecretagents.com | March 2026</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