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3600" w:lineRule="auto"/>
        <w:rPr/>
      </w:pPr>
      <w:r w:rsidDel="00000000" w:rsidR="00000000" w:rsidRPr="00000000">
        <w:rPr>
          <w:rtl w:val="0"/>
        </w:rPr>
      </w:r>
    </w:p>
    <w:p w:rsidR="00000000" w:rsidDel="00000000" w:rsidP="00000000" w:rsidRDefault="00000000" w:rsidRPr="00000000" w14:paraId="00000002">
      <w:pPr>
        <w:spacing w:after="120" w:lineRule="auto"/>
        <w:jc w:val="center"/>
        <w:rPr/>
      </w:pPr>
      <w:r w:rsidDel="00000000" w:rsidR="00000000" w:rsidRPr="00000000">
        <w:rPr>
          <w:rFonts w:ascii="Arial" w:cs="Arial" w:eastAsia="Arial" w:hAnsi="Arial"/>
          <w:b w:val="1"/>
          <w:bCs w:val="1"/>
          <w:color w:val="2e86ab"/>
          <w:sz w:val="24"/>
          <w:szCs w:val="24"/>
          <w:rtl w:val="0"/>
        </w:rPr>
        <w:t xml:space="preserve">CASE STUDY</w:t>
      </w:r>
      <w:r w:rsidDel="00000000" w:rsidR="00000000" w:rsidRPr="00000000">
        <w:rPr>
          <w:rtl w:val="0"/>
        </w:rPr>
      </w:r>
    </w:p>
    <w:p w:rsidR="00000000" w:rsidDel="00000000" w:rsidP="00000000" w:rsidRDefault="00000000" w:rsidRPr="00000000" w14:paraId="00000003">
      <w:pPr>
        <w:spacing w:after="200" w:lineRule="auto"/>
        <w:jc w:val="center"/>
        <w:rPr/>
      </w:pPr>
      <w:r w:rsidDel="00000000" w:rsidR="00000000" w:rsidRPr="00000000">
        <w:rPr>
          <w:rFonts w:ascii="Arial" w:cs="Arial" w:eastAsia="Arial" w:hAnsi="Arial"/>
          <w:b w:val="1"/>
          <w:bCs w:val="1"/>
          <w:color w:val="1b2a4a"/>
          <w:sz w:val="52"/>
          <w:szCs w:val="52"/>
          <w:rtl w:val="0"/>
        </w:rPr>
        <w:t xml:space="preserve">Meta Ads Lead Generation</w:t>
      </w:r>
      <w:r w:rsidDel="00000000" w:rsidR="00000000" w:rsidRPr="00000000">
        <w:rPr>
          <w:rtl w:val="0"/>
        </w:rPr>
      </w:r>
    </w:p>
    <w:p w:rsidR="00000000" w:rsidDel="00000000" w:rsidP="00000000" w:rsidRDefault="00000000" w:rsidRPr="00000000" w14:paraId="00000004">
      <w:pPr>
        <w:spacing w:after="120" w:lineRule="auto"/>
        <w:jc w:val="center"/>
        <w:rPr/>
      </w:pPr>
      <w:r w:rsidDel="00000000" w:rsidR="00000000" w:rsidRPr="00000000">
        <w:rPr>
          <w:rFonts w:ascii="Arial" w:cs="Arial" w:eastAsia="Arial" w:hAnsi="Arial"/>
          <w:color w:val="2e86ab"/>
          <w:sz w:val="28"/>
          <w:szCs w:val="28"/>
          <w:rtl w:val="0"/>
        </w:rPr>
        <w:t xml:space="preserve">Alternative Lending Client</w:t>
      </w:r>
      <w:r w:rsidDel="00000000" w:rsidR="00000000" w:rsidRPr="00000000">
        <w:rPr>
          <w:rtl w:val="0"/>
        </w:rPr>
      </w:r>
    </w:p>
    <w:tbl>
      <w:tblPr>
        <w:tblStyle w:val="Table1"/>
        <w:tblW w:w="3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tblGridChange w:id="0">
          <w:tblGrid>
            <w:gridCol w:w="3000"/>
          </w:tblGrid>
        </w:tblGridChange>
      </w:tblGrid>
      <w:tr>
        <w:trPr>
          <w:cantSplit w:val="0"/>
          <w:tblHeader w:val="0"/>
        </w:trPr>
        <w:tc>
          <w:tcPr>
            <w:tcBorders>
              <w:top w:color="000000" w:space="0" w:sz="0" w:val="nil"/>
              <w:left w:color="000000" w:space="0" w:sz="0" w:val="nil"/>
              <w:bottom w:color="2e86ab" w:space="0" w:sz="4" w:val="single"/>
              <w:right w:color="000000" w:space="0" w:sz="0" w:val="nil"/>
            </w:tcBorders>
          </w:tcPr>
          <w:p w:rsidR="00000000" w:rsidDel="00000000" w:rsidP="00000000" w:rsidRDefault="00000000" w:rsidRPr="00000000" w14:paraId="00000005">
            <w:pPr>
              <w:jc w:val="center"/>
              <w:rPr/>
            </w:pPr>
            <w:r w:rsidDel="00000000" w:rsidR="00000000" w:rsidRPr="00000000">
              <w:rPr>
                <w:rtl w:val="0"/>
              </w:rPr>
            </w:r>
          </w:p>
        </w:tc>
      </w:tr>
    </w:tbl>
    <w:p w:rsidR="00000000" w:rsidDel="00000000" w:rsidP="00000000" w:rsidRDefault="00000000" w:rsidRPr="00000000" w14:paraId="00000006">
      <w:pPr>
        <w:spacing w:before="400" w:lineRule="auto"/>
        <w:rPr/>
      </w:pPr>
      <w:r w:rsidDel="00000000" w:rsidR="00000000" w:rsidRPr="00000000">
        <w:rPr>
          <w:rtl w:val="0"/>
        </w:rPr>
      </w:r>
    </w:p>
    <w:p w:rsidR="00000000" w:rsidDel="00000000" w:rsidP="00000000" w:rsidRDefault="00000000" w:rsidRPr="00000000" w14:paraId="00000007">
      <w:pPr>
        <w:spacing w:after="60" w:lineRule="auto"/>
        <w:jc w:val="center"/>
        <w:rPr/>
      </w:pPr>
      <w:r w:rsidDel="00000000" w:rsidR="00000000" w:rsidRPr="00000000">
        <w:rPr>
          <w:rFonts w:ascii="Arial" w:cs="Arial" w:eastAsia="Arial" w:hAnsi="Arial"/>
          <w:b w:val="1"/>
          <w:bCs w:val="1"/>
          <w:color w:val="1b2a4a"/>
          <w:sz w:val="28"/>
          <w:szCs w:val="28"/>
          <w:rtl w:val="0"/>
        </w:rPr>
        <w:t xml:space="preserve">12,765 Leads Generated</w:t>
      </w:r>
      <w:r w:rsidDel="00000000" w:rsidR="00000000" w:rsidRPr="00000000">
        <w:rPr>
          <w:rtl w:val="0"/>
        </w:rPr>
      </w:r>
    </w:p>
    <w:p w:rsidR="00000000" w:rsidDel="00000000" w:rsidP="00000000" w:rsidRDefault="00000000" w:rsidRPr="00000000" w14:paraId="00000008">
      <w:pPr>
        <w:spacing w:after="60" w:lineRule="auto"/>
        <w:jc w:val="center"/>
        <w:rPr/>
      </w:pPr>
      <w:r w:rsidDel="00000000" w:rsidR="00000000" w:rsidRPr="00000000">
        <w:rPr>
          <w:rFonts w:ascii="Arial" w:cs="Arial" w:eastAsia="Arial" w:hAnsi="Arial"/>
          <w:b w:val="1"/>
          <w:bCs w:val="1"/>
          <w:color w:val="1b2a4a"/>
          <w:sz w:val="28"/>
          <w:szCs w:val="28"/>
          <w:rtl w:val="0"/>
        </w:rPr>
        <w:t xml:space="preserve">$4.48 Blended Cost Per Lead</w:t>
      </w:r>
      <w:r w:rsidDel="00000000" w:rsidR="00000000" w:rsidRPr="00000000">
        <w:rPr>
          <w:rtl w:val="0"/>
        </w:rPr>
      </w:r>
    </w:p>
    <w:p w:rsidR="00000000" w:rsidDel="00000000" w:rsidP="00000000" w:rsidRDefault="00000000" w:rsidRPr="00000000" w14:paraId="00000009">
      <w:pPr>
        <w:spacing w:after="60" w:lineRule="auto"/>
        <w:jc w:val="center"/>
        <w:rPr/>
      </w:pPr>
      <w:r w:rsidDel="00000000" w:rsidR="00000000" w:rsidRPr="00000000">
        <w:rPr>
          <w:rFonts w:ascii="Arial" w:cs="Arial" w:eastAsia="Arial" w:hAnsi="Arial"/>
          <w:b w:val="1"/>
          <w:bCs w:val="1"/>
          <w:color w:val="1b2a4a"/>
          <w:sz w:val="28"/>
          <w:szCs w:val="28"/>
          <w:rtl w:val="0"/>
        </w:rPr>
        <w:t xml:space="preserve">329 Live Call Transfers via AI Agents</w:t>
      </w:r>
      <w:r w:rsidDel="00000000" w:rsidR="00000000" w:rsidRPr="00000000">
        <w:rPr>
          <w:rtl w:val="0"/>
        </w:rPr>
      </w:r>
    </w:p>
    <w:p w:rsidR="00000000" w:rsidDel="00000000" w:rsidP="00000000" w:rsidRDefault="00000000" w:rsidRPr="00000000" w14:paraId="0000000A">
      <w:pPr>
        <w:spacing w:after="60" w:lineRule="auto"/>
        <w:jc w:val="center"/>
        <w:rPr/>
      </w:pPr>
      <w:r w:rsidDel="00000000" w:rsidR="00000000" w:rsidRPr="00000000">
        <w:rPr>
          <w:rFonts w:ascii="Arial" w:cs="Arial" w:eastAsia="Arial" w:hAnsi="Arial"/>
          <w:b w:val="1"/>
          <w:bCs w:val="1"/>
          <w:color w:val="1b2a4a"/>
          <w:sz w:val="28"/>
          <w:szCs w:val="28"/>
          <w:rtl w:val="0"/>
        </w:rPr>
        <w:t xml:space="preserve">5 Industry-Specific Campaigns</w:t>
      </w:r>
      <w:r w:rsidDel="00000000" w:rsidR="00000000" w:rsidRPr="00000000">
        <w:rPr>
          <w:rtl w:val="0"/>
        </w:rPr>
      </w:r>
    </w:p>
    <w:p w:rsidR="00000000" w:rsidDel="00000000" w:rsidP="00000000" w:rsidRDefault="00000000" w:rsidRPr="00000000" w14:paraId="0000000B">
      <w:pPr>
        <w:spacing w:before="2400" w:lineRule="auto"/>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Fonts w:ascii="Arial" w:cs="Arial" w:eastAsia="Arial" w:hAnsi="Arial"/>
          <w:color w:val="4a5568"/>
          <w:sz w:val="22"/>
          <w:szCs w:val="22"/>
          <w:rtl w:val="0"/>
        </w:rPr>
        <w:t xml:space="preserve">September – December 2025</w:t>
      </w:r>
      <w:r w:rsidDel="00000000" w:rsidR="00000000" w:rsidRPr="00000000">
        <w:rPr>
          <w:rtl w:val="0"/>
        </w:rPr>
      </w:r>
    </w:p>
    <w:p w:rsidR="00000000" w:rsidDel="00000000" w:rsidP="00000000" w:rsidRDefault="00000000" w:rsidRPr="00000000" w14:paraId="0000000D">
      <w:pPr>
        <w:jc w:val="center"/>
        <w:rPr/>
        <w:sectPr>
          <w:pgSz w:h="15840" w:w="12240" w:orient="portrait"/>
          <w:pgMar w:bottom="1440" w:top="1440" w:left="1440" w:right="1440" w:header="708" w:footer="708"/>
          <w:pgNumType w:start="1"/>
        </w:sectPr>
      </w:pPr>
      <w:r w:rsidDel="00000000" w:rsidR="00000000" w:rsidRPr="00000000">
        <w:rPr>
          <w:rFonts w:ascii="Arial" w:cs="Arial" w:eastAsia="Arial" w:hAnsi="Arial"/>
          <w:color w:val="4a5568"/>
          <w:sz w:val="22"/>
          <w:szCs w:val="22"/>
          <w:rtl w:val="0"/>
        </w:rPr>
        <w:t xml:space="preserve">Prepared by Team Secret Agents</w:t>
      </w:r>
      <w:r w:rsidDel="00000000" w:rsidR="00000000" w:rsidRPr="00000000">
        <w:rPr>
          <w:rtl w:val="0"/>
        </w:rPr>
      </w:r>
    </w:p>
    <w:p w:rsidR="00000000" w:rsidDel="00000000" w:rsidP="00000000" w:rsidRDefault="00000000" w:rsidRPr="00000000" w14:paraId="0000000E">
      <w:pPr>
        <w:pStyle w:val="Heading1"/>
        <w:rPr/>
      </w:pPr>
      <w:r w:rsidDel="00000000" w:rsidR="00000000" w:rsidRPr="00000000">
        <w:rPr>
          <w:rtl w:val="0"/>
        </w:rPr>
        <w:t xml:space="preserve">Executive Summary</w:t>
      </w:r>
    </w:p>
    <w:p w:rsidR="00000000" w:rsidDel="00000000" w:rsidP="00000000" w:rsidRDefault="00000000" w:rsidRPr="00000000" w14:paraId="0000000F">
      <w:pPr>
        <w:spacing w:after="200" w:lineRule="auto"/>
        <w:rPr/>
      </w:pPr>
      <w:r w:rsidDel="00000000" w:rsidR="00000000" w:rsidRPr="00000000">
        <w:rPr>
          <w:sz w:val="22"/>
          <w:szCs w:val="22"/>
          <w:rtl w:val="0"/>
        </w:rPr>
        <w:t xml:space="preserve">An alternative lending company sought to generate high-quality leads from niche small business verticals using Meta (Facebook and Instagram) ads. The client needed a scalable system to reach underserved business owners—tru</w:t>
      </w:r>
      <w:r w:rsidDel="00000000" w:rsidR="00000000" w:rsidRPr="00000000">
        <w:rPr>
          <w:rtl w:val="0"/>
        </w:rPr>
        <w:t xml:space="preserve">c</w:t>
      </w:r>
      <w:r w:rsidDel="00000000" w:rsidR="00000000" w:rsidRPr="00000000">
        <w:rPr>
          <w:sz w:val="22"/>
          <w:szCs w:val="22"/>
          <w:rtl w:val="0"/>
        </w:rPr>
        <w:t xml:space="preserve">kers, veterans, roofers, food truck operators, and general small businesses—who are routinely turned away by traditional banks.</w:t>
      </w:r>
      <w:r w:rsidDel="00000000" w:rsidR="00000000" w:rsidRPr="00000000">
        <w:rPr>
          <w:rtl w:val="0"/>
        </w:rPr>
      </w:r>
    </w:p>
    <w:p w:rsidR="00000000" w:rsidDel="00000000" w:rsidP="00000000" w:rsidRDefault="00000000" w:rsidRPr="00000000" w14:paraId="00000010">
      <w:pPr>
        <w:spacing w:after="200" w:lineRule="auto"/>
        <w:rPr/>
      </w:pPr>
      <w:r w:rsidDel="00000000" w:rsidR="00000000" w:rsidRPr="00000000">
        <w:rPr>
          <w:sz w:val="22"/>
          <w:szCs w:val="22"/>
          <w:rtl w:val="0"/>
        </w:rPr>
        <w:t xml:space="preserve">Over a four-month engagement from September through December 2025, we developed and deployed five distinct, industry-specific Meta ad campaigns. Each campaign featured custom narration-style video ad scripts with multiple hooks tailored to the pain points of its target audience, paired with lead form ads designed to qualify prospects in real time. To maximize lead-to-sale conversion, we also deployed AI-powered voice agents that contacted leads instantly and transferred qualified prospects directly to the client’s sales team via live call transfers.</w:t>
      </w:r>
      <w:r w:rsidDel="00000000" w:rsidR="00000000" w:rsidRPr="00000000">
        <w:rPr>
          <w:rtl w:val="0"/>
        </w:rPr>
      </w:r>
    </w:p>
    <w:p w:rsidR="00000000" w:rsidDel="00000000" w:rsidP="00000000" w:rsidRDefault="00000000" w:rsidRPr="00000000" w14:paraId="00000011">
      <w:pPr>
        <w:spacing w:after="200" w:lineRule="auto"/>
        <w:rPr/>
      </w:pPr>
      <w:r w:rsidDel="00000000" w:rsidR="00000000" w:rsidRPr="00000000">
        <w:rPr>
          <w:b w:val="1"/>
          <w:bCs w:val="1"/>
          <w:sz w:val="22"/>
          <w:szCs w:val="22"/>
          <w:rtl w:val="0"/>
        </w:rPr>
        <w:t xml:space="preserve">The result: 12,765 total leads generated across all campaigns on a total ad spend of $57,187, producing a blended cost per lead of $4.48. AI voice agents converted those leads into 329 live call transfers delivered directly to the sales team, and the top-performing veteran campaign delivered leads at just $1.75 each.</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0f6fa" w:val="clear"/>
            <w:tcMar>
              <w:top w:w="160.0" w:type="dxa"/>
              <w:left w:w="80.0" w:type="dxa"/>
              <w:bottom w:w="160.0" w:type="dxa"/>
              <w:right w:w="80.0" w:type="dxa"/>
            </w:tcMar>
          </w:tcPr>
          <w:p w:rsidR="00000000" w:rsidDel="00000000" w:rsidP="00000000" w:rsidRDefault="00000000" w:rsidRPr="00000000" w14:paraId="00000012">
            <w:pPr>
              <w:spacing w:after="40" w:lineRule="auto"/>
              <w:jc w:val="center"/>
              <w:rPr/>
            </w:pPr>
            <w:r w:rsidDel="00000000" w:rsidR="00000000" w:rsidRPr="00000000">
              <w:rPr>
                <w:rFonts w:ascii="Arial" w:cs="Arial" w:eastAsia="Arial" w:hAnsi="Arial"/>
                <w:b w:val="1"/>
                <w:bCs w:val="1"/>
                <w:color w:val="2e86ab"/>
                <w:sz w:val="32"/>
                <w:szCs w:val="32"/>
                <w:rtl w:val="0"/>
              </w:rPr>
              <w:t xml:space="preserve">12,765</w:t>
            </w:r>
            <w:r w:rsidDel="00000000" w:rsidR="00000000" w:rsidRPr="00000000">
              <w:rPr>
                <w:rtl w:val="0"/>
              </w:rPr>
            </w:r>
          </w:p>
          <w:p w:rsidR="00000000" w:rsidDel="00000000" w:rsidP="00000000" w:rsidRDefault="00000000" w:rsidRPr="00000000" w14:paraId="00000013">
            <w:pPr>
              <w:jc w:val="center"/>
              <w:rPr/>
            </w:pPr>
            <w:r w:rsidDel="00000000" w:rsidR="00000000" w:rsidRPr="00000000">
              <w:rPr>
                <w:rFonts w:ascii="Arial" w:cs="Arial" w:eastAsia="Arial" w:hAnsi="Arial"/>
                <w:color w:val="4a5568"/>
                <w:sz w:val="16"/>
                <w:szCs w:val="16"/>
                <w:rtl w:val="0"/>
              </w:rPr>
              <w:t xml:space="preserve">Total Leads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0f6fa" w:val="clear"/>
            <w:tcMar>
              <w:top w:w="160.0" w:type="dxa"/>
              <w:left w:w="80.0" w:type="dxa"/>
              <w:bottom w:w="160.0" w:type="dxa"/>
              <w:right w:w="80.0" w:type="dxa"/>
            </w:tcMar>
          </w:tcPr>
          <w:p w:rsidR="00000000" w:rsidDel="00000000" w:rsidP="00000000" w:rsidRDefault="00000000" w:rsidRPr="00000000" w14:paraId="00000014">
            <w:pPr>
              <w:spacing w:after="40" w:lineRule="auto"/>
              <w:jc w:val="center"/>
              <w:rPr/>
            </w:pPr>
            <w:r w:rsidDel="00000000" w:rsidR="00000000" w:rsidRPr="00000000">
              <w:rPr>
                <w:rFonts w:ascii="Arial" w:cs="Arial" w:eastAsia="Arial" w:hAnsi="Arial"/>
                <w:b w:val="1"/>
                <w:bCs w:val="1"/>
                <w:color w:val="2e86ab"/>
                <w:sz w:val="32"/>
                <w:szCs w:val="32"/>
                <w:rtl w:val="0"/>
              </w:rPr>
              <w:t xml:space="preserve">$57,187</w:t>
            </w:r>
            <w:r w:rsidDel="00000000" w:rsidR="00000000" w:rsidRPr="00000000">
              <w:rPr>
                <w:rtl w:val="0"/>
              </w:rPr>
            </w:r>
          </w:p>
          <w:p w:rsidR="00000000" w:rsidDel="00000000" w:rsidP="00000000" w:rsidRDefault="00000000" w:rsidRPr="00000000" w14:paraId="00000015">
            <w:pPr>
              <w:jc w:val="center"/>
              <w:rPr/>
            </w:pPr>
            <w:r w:rsidDel="00000000" w:rsidR="00000000" w:rsidRPr="00000000">
              <w:rPr>
                <w:rFonts w:ascii="Arial" w:cs="Arial" w:eastAsia="Arial" w:hAnsi="Arial"/>
                <w:color w:val="4a5568"/>
                <w:sz w:val="16"/>
                <w:szCs w:val="16"/>
                <w:rtl w:val="0"/>
              </w:rPr>
              <w:t xml:space="preserve">Total Ad Spend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0f6fa" w:val="clear"/>
            <w:tcMar>
              <w:top w:w="160.0" w:type="dxa"/>
              <w:left w:w="80.0" w:type="dxa"/>
              <w:bottom w:w="160.0" w:type="dxa"/>
              <w:right w:w="80.0" w:type="dxa"/>
            </w:tcMar>
          </w:tcPr>
          <w:p w:rsidR="00000000" w:rsidDel="00000000" w:rsidP="00000000" w:rsidRDefault="00000000" w:rsidRPr="00000000" w14:paraId="00000016">
            <w:pPr>
              <w:spacing w:after="40" w:lineRule="auto"/>
              <w:jc w:val="center"/>
              <w:rPr/>
            </w:pPr>
            <w:r w:rsidDel="00000000" w:rsidR="00000000" w:rsidRPr="00000000">
              <w:rPr>
                <w:rFonts w:ascii="Arial" w:cs="Arial" w:eastAsia="Arial" w:hAnsi="Arial"/>
                <w:b w:val="1"/>
                <w:bCs w:val="1"/>
                <w:color w:val="2e86ab"/>
                <w:sz w:val="32"/>
                <w:szCs w:val="32"/>
                <w:rtl w:val="0"/>
              </w:rPr>
              <w:t xml:space="preserve">$4.48</w:t>
            </w:r>
            <w:r w:rsidDel="00000000" w:rsidR="00000000" w:rsidRPr="00000000">
              <w:rPr>
                <w:rtl w:val="0"/>
              </w:rPr>
            </w:r>
          </w:p>
          <w:p w:rsidR="00000000" w:rsidDel="00000000" w:rsidP="00000000" w:rsidRDefault="00000000" w:rsidRPr="00000000" w14:paraId="00000017">
            <w:pPr>
              <w:jc w:val="center"/>
              <w:rPr/>
            </w:pPr>
            <w:r w:rsidDel="00000000" w:rsidR="00000000" w:rsidRPr="00000000">
              <w:rPr>
                <w:rFonts w:ascii="Arial" w:cs="Arial" w:eastAsia="Arial" w:hAnsi="Arial"/>
                <w:color w:val="4a5568"/>
                <w:sz w:val="16"/>
                <w:szCs w:val="16"/>
                <w:rtl w:val="0"/>
              </w:rPr>
              <w:t xml:space="preserve">Blended CPL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0f6fa" w:val="clear"/>
            <w:tcMar>
              <w:top w:w="160.0" w:type="dxa"/>
              <w:left w:w="80.0" w:type="dxa"/>
              <w:bottom w:w="160.0" w:type="dxa"/>
              <w:right w:w="80.0" w:type="dxa"/>
            </w:tcMar>
          </w:tcPr>
          <w:p w:rsidR="00000000" w:rsidDel="00000000" w:rsidP="00000000" w:rsidRDefault="00000000" w:rsidRPr="00000000" w14:paraId="00000018">
            <w:pPr>
              <w:spacing w:after="40" w:lineRule="auto"/>
              <w:jc w:val="center"/>
              <w:rPr/>
            </w:pPr>
            <w:r w:rsidDel="00000000" w:rsidR="00000000" w:rsidRPr="00000000">
              <w:rPr>
                <w:rFonts w:ascii="Arial" w:cs="Arial" w:eastAsia="Arial" w:hAnsi="Arial"/>
                <w:b w:val="1"/>
                <w:bCs w:val="1"/>
                <w:color w:val="2e86ab"/>
                <w:sz w:val="32"/>
                <w:szCs w:val="32"/>
                <w:rtl w:val="0"/>
              </w:rPr>
              <w:t xml:space="preserve">329</w:t>
            </w:r>
            <w:r w:rsidDel="00000000" w:rsidR="00000000" w:rsidRPr="00000000">
              <w:rPr>
                <w:rtl w:val="0"/>
              </w:rPr>
            </w:r>
          </w:p>
          <w:p w:rsidR="00000000" w:rsidDel="00000000" w:rsidP="00000000" w:rsidRDefault="00000000" w:rsidRPr="00000000" w14:paraId="00000019">
            <w:pPr>
              <w:jc w:val="center"/>
              <w:rPr/>
            </w:pPr>
            <w:r w:rsidDel="00000000" w:rsidR="00000000" w:rsidRPr="00000000">
              <w:rPr>
                <w:rFonts w:ascii="Arial" w:cs="Arial" w:eastAsia="Arial" w:hAnsi="Arial"/>
                <w:color w:val="4a5568"/>
                <w:sz w:val="16"/>
                <w:szCs w:val="16"/>
                <w:rtl w:val="0"/>
              </w:rPr>
              <w:t xml:space="preserve">Live Transfers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0f6fa" w:val="clear"/>
            <w:tcMar>
              <w:top w:w="160.0" w:type="dxa"/>
              <w:left w:w="80.0" w:type="dxa"/>
              <w:bottom w:w="160.0" w:type="dxa"/>
              <w:right w:w="80.0" w:type="dxa"/>
            </w:tcMar>
          </w:tcPr>
          <w:p w:rsidR="00000000" w:rsidDel="00000000" w:rsidP="00000000" w:rsidRDefault="00000000" w:rsidRPr="00000000" w14:paraId="0000001A">
            <w:pPr>
              <w:spacing w:after="40" w:lineRule="auto"/>
              <w:jc w:val="center"/>
              <w:rPr/>
            </w:pPr>
            <w:r w:rsidDel="00000000" w:rsidR="00000000" w:rsidRPr="00000000">
              <w:rPr>
                <w:rFonts w:ascii="Arial" w:cs="Arial" w:eastAsia="Arial" w:hAnsi="Arial"/>
                <w:b w:val="1"/>
                <w:bCs w:val="1"/>
                <w:color w:val="2e86ab"/>
                <w:sz w:val="32"/>
                <w:szCs w:val="32"/>
                <w:rtl w:val="0"/>
              </w:rPr>
              <w:t xml:space="preserve">57.9%</w:t>
            </w:r>
            <w:r w:rsidDel="00000000" w:rsidR="00000000" w:rsidRPr="00000000">
              <w:rPr>
                <w:rtl w:val="0"/>
              </w:rPr>
            </w:r>
          </w:p>
          <w:p w:rsidR="00000000" w:rsidDel="00000000" w:rsidP="00000000" w:rsidRDefault="00000000" w:rsidRPr="00000000" w14:paraId="0000001B">
            <w:pPr>
              <w:jc w:val="center"/>
              <w:rPr/>
            </w:pPr>
            <w:r w:rsidDel="00000000" w:rsidR="00000000" w:rsidRPr="00000000">
              <w:rPr>
                <w:rFonts w:ascii="Arial" w:cs="Arial" w:eastAsia="Arial" w:hAnsi="Arial"/>
                <w:color w:val="4a5568"/>
                <w:sz w:val="16"/>
                <w:szCs w:val="16"/>
                <w:rtl w:val="0"/>
              </w:rPr>
              <w:t xml:space="preserve">Best Conv. Rate</w:t>
            </w:r>
            <w:r w:rsidDel="00000000" w:rsidR="00000000" w:rsidRPr="00000000">
              <w:rPr>
                <w:rtl w:val="0"/>
              </w:rPr>
            </w:r>
          </w:p>
        </w:tc>
      </w:tr>
    </w:tbl>
    <w:p w:rsidR="00000000" w:rsidDel="00000000" w:rsidP="00000000" w:rsidRDefault="00000000" w:rsidRPr="00000000" w14:paraId="0000001C">
      <w:pPr>
        <w:spacing w:after="200" w:before="200" w:lineRule="auto"/>
        <w:rPr/>
      </w:pPr>
      <w:r w:rsidDel="00000000" w:rsidR="00000000" w:rsidRPr="00000000">
        <w:rPr>
          <w:rtl w:val="0"/>
        </w:rPr>
      </w:r>
    </w:p>
    <w:p w:rsidR="00000000" w:rsidDel="00000000" w:rsidP="00000000" w:rsidRDefault="00000000" w:rsidRPr="00000000" w14:paraId="0000001D">
      <w:pPr>
        <w:pStyle w:val="Heading1"/>
        <w:rPr/>
      </w:pPr>
      <w:r w:rsidDel="00000000" w:rsidR="00000000" w:rsidRPr="00000000">
        <w:rPr>
          <w:rtl w:val="0"/>
        </w:rPr>
        <w:t xml:space="preserve">The Challenge</w:t>
      </w:r>
    </w:p>
    <w:p w:rsidR="00000000" w:rsidDel="00000000" w:rsidP="00000000" w:rsidRDefault="00000000" w:rsidRPr="00000000" w14:paraId="0000001E">
      <w:pPr>
        <w:spacing w:after="200" w:lineRule="auto"/>
        <w:rPr/>
      </w:pPr>
      <w:r w:rsidDel="00000000" w:rsidR="00000000" w:rsidRPr="00000000">
        <w:rPr>
          <w:sz w:val="22"/>
          <w:szCs w:val="22"/>
          <w:rtl w:val="0"/>
        </w:rPr>
        <w:t xml:space="preserve">The client operates in the alternative lending space, providing working capital and equipment financing to small business owners who are underserved by traditional banks. Their core audience includes owner-operators in trucking, roofing contractors, food truck entrepreneurs, veteran-owned businesses, and general small business owners across the US and Canada.</w:t>
      </w:r>
      <w:r w:rsidDel="00000000" w:rsidR="00000000" w:rsidRPr="00000000">
        <w:rPr>
          <w:rtl w:val="0"/>
        </w:rPr>
      </w:r>
    </w:p>
    <w:p w:rsidR="00000000" w:rsidDel="00000000" w:rsidP="00000000" w:rsidRDefault="00000000" w:rsidRPr="00000000" w14:paraId="0000001F">
      <w:pPr>
        <w:spacing w:after="200" w:lineRule="auto"/>
        <w:rPr/>
      </w:pPr>
      <w:r w:rsidDel="00000000" w:rsidR="00000000" w:rsidRPr="00000000">
        <w:rPr>
          <w:sz w:val="22"/>
          <w:szCs w:val="22"/>
          <w:rtl w:val="0"/>
        </w:rPr>
        <w:t xml:space="preserve">The primary challenges were fourfold. First, these audiences are deeply skeptical of financial advertising due to past negative experiences with banks and predatory lenders. Second, the cost of acquiring leads in the financial services space on Meta is typically high, often ranging from $15 to $50+ per lead. Third, the client needed to scale quickly across multiple verticals while maintaining lead quality and relevance. Fourth, speed-to-contact was critical—leads in the alternative lending space go cold fast, and the client’s sales team couldn’t manually follow up on thousands of inbound leads quickly enough to maximize conversion.</w:t>
      </w:r>
      <w:r w:rsidDel="00000000" w:rsidR="00000000" w:rsidRPr="00000000">
        <w:rPr>
          <w:rtl w:val="0"/>
        </w:rPr>
      </w:r>
    </w:p>
    <w:p w:rsidR="00000000" w:rsidDel="00000000" w:rsidP="00000000" w:rsidRDefault="00000000" w:rsidRPr="00000000" w14:paraId="00000020">
      <w:pPr>
        <w:pStyle w:val="Heading1"/>
        <w:rPr/>
      </w:pPr>
      <w:r w:rsidDel="00000000" w:rsidR="00000000" w:rsidRPr="00000000">
        <w:rPr>
          <w:rtl w:val="0"/>
        </w:rPr>
        <w:t xml:space="preserve">The Strategy</w:t>
      </w:r>
    </w:p>
    <w:p w:rsidR="00000000" w:rsidDel="00000000" w:rsidP="00000000" w:rsidRDefault="00000000" w:rsidRPr="00000000" w14:paraId="00000021">
      <w:pPr>
        <w:pStyle w:val="Heading2"/>
        <w:rPr/>
      </w:pPr>
      <w:r w:rsidDel="00000000" w:rsidR="00000000" w:rsidRPr="00000000">
        <w:rPr>
          <w:rtl w:val="0"/>
        </w:rPr>
        <w:t xml:space="preserve">Audience-First Creative Development</w:t>
      </w:r>
    </w:p>
    <w:p w:rsidR="00000000" w:rsidDel="00000000" w:rsidP="00000000" w:rsidRDefault="00000000" w:rsidRPr="00000000" w14:paraId="00000022">
      <w:pPr>
        <w:spacing w:after="200" w:lineRule="auto"/>
        <w:rPr/>
      </w:pPr>
      <w:r w:rsidDel="00000000" w:rsidR="00000000" w:rsidRPr="00000000">
        <w:rPr>
          <w:sz w:val="22"/>
          <w:szCs w:val="22"/>
          <w:rtl w:val="0"/>
        </w:rPr>
        <w:t xml:space="preserve">Rather than running generic financial services ads, we built five entirely separate campaigns, each with its own creative suite tailored to a specific business vertical. Every campaign included 7–10 unique hooks designed to resonate with the daily realities and frustrations of each audience by segment.</w:t>
      </w:r>
      <w:r w:rsidDel="00000000" w:rsidR="00000000" w:rsidRPr="00000000">
        <w:rPr>
          <w:rtl w:val="0"/>
        </w:rPr>
      </w:r>
    </w:p>
    <w:p w:rsidR="00000000" w:rsidDel="00000000" w:rsidP="00000000" w:rsidRDefault="00000000" w:rsidRPr="00000000" w14:paraId="00000023">
      <w:pPr>
        <w:pStyle w:val="Heading3"/>
        <w:rPr/>
      </w:pPr>
      <w:r w:rsidDel="00000000" w:rsidR="00000000" w:rsidRPr="00000000">
        <w:rPr>
          <w:rtl w:val="0"/>
        </w:rPr>
        <w:t xml:space="preserve">Campaign 1: General Small Business (US + Canada)</w:t>
      </w:r>
    </w:p>
    <w:p w:rsidR="00000000" w:rsidDel="00000000" w:rsidP="00000000" w:rsidRDefault="00000000" w:rsidRPr="00000000" w14:paraId="00000024">
      <w:pPr>
        <w:spacing w:after="120" w:lineRule="auto"/>
        <w:rPr/>
      </w:pPr>
      <w:r w:rsidDel="00000000" w:rsidR="00000000" w:rsidRPr="00000000">
        <w:rPr>
          <w:sz w:val="22"/>
          <w:szCs w:val="22"/>
          <w:rtl w:val="0"/>
        </w:rPr>
        <w:t xml:space="preserve">Targeted small business owners broadly with messaging around cash flow gaps, payroll pressure, and bank rejection. Multiple ad variants (V2, V3, V6, V8, V9, V10) were tested, with V8 emerging as the clear winner, generating 635 of 808 total leads from this campaign.</w:t>
      </w:r>
      <w:r w:rsidDel="00000000" w:rsidR="00000000" w:rsidRPr="00000000">
        <w:rPr>
          <w:rtl w:val="0"/>
        </w:rPr>
      </w:r>
    </w:p>
    <w:p w:rsidR="00000000" w:rsidDel="00000000" w:rsidP="00000000" w:rsidRDefault="00000000" w:rsidRPr="00000000" w14:paraId="00000025">
      <w:pPr>
        <w:pStyle w:val="Heading3"/>
        <w:rPr/>
      </w:pPr>
      <w:r w:rsidDel="00000000" w:rsidR="00000000" w:rsidRPr="00000000">
        <w:rPr>
          <w:rtl w:val="0"/>
        </w:rPr>
        <w:t xml:space="preserve">Campaign 2: Truckers &amp; Owner-Operators</w:t>
      </w:r>
    </w:p>
    <w:p w:rsidR="00000000" w:rsidDel="00000000" w:rsidP="00000000" w:rsidRDefault="00000000" w:rsidRPr="00000000" w14:paraId="00000026">
      <w:pPr>
        <w:spacing w:after="120" w:lineRule="auto"/>
        <w:rPr/>
      </w:pPr>
      <w:r w:rsidDel="00000000" w:rsidR="00000000" w:rsidRPr="00000000">
        <w:rPr>
          <w:sz w:val="22"/>
          <w:szCs w:val="22"/>
          <w:rtl w:val="0"/>
        </w:rPr>
        <w:t xml:space="preserve">Custom scripts addressed industry-specific pain points: engine overhauls, rig upgrades, and the frustration of banks that don’t understand the trucking business. Hooks like “Finally, truck financing on your terms—even with bad credit or past bankruptcy” drove strong engagement. This campaign generated 2,415 leads with 7 ad variants tested.</w:t>
      </w:r>
      <w:r w:rsidDel="00000000" w:rsidR="00000000" w:rsidRPr="00000000">
        <w:rPr>
          <w:rtl w:val="0"/>
        </w:rPr>
      </w:r>
    </w:p>
    <w:p w:rsidR="00000000" w:rsidDel="00000000" w:rsidP="00000000" w:rsidRDefault="00000000" w:rsidRPr="00000000" w14:paraId="00000027">
      <w:pPr>
        <w:pStyle w:val="Heading3"/>
        <w:rPr/>
      </w:pPr>
      <w:r w:rsidDel="00000000" w:rsidR="00000000" w:rsidRPr="00000000">
        <w:rPr>
          <w:rtl w:val="0"/>
        </w:rPr>
        <w:t xml:space="preserve">Campaign 3: Veteran Business Owners</w:t>
      </w:r>
    </w:p>
    <w:p w:rsidR="00000000" w:rsidDel="00000000" w:rsidP="00000000" w:rsidRDefault="00000000" w:rsidRPr="00000000" w14:paraId="00000028">
      <w:pPr>
        <w:spacing w:after="120" w:lineRule="auto"/>
        <w:rPr/>
      </w:pPr>
      <w:r w:rsidDel="00000000" w:rsidR="00000000" w:rsidRPr="00000000">
        <w:rPr>
          <w:sz w:val="22"/>
          <w:szCs w:val="22"/>
          <w:rtl w:val="0"/>
        </w:rPr>
        <w:t xml:space="preserve">This campaign honored the service and sacrifice of veteran entrepreneurs while positioning the client as a lender who sees beyond credit scores. With messaging like “You fought for your country, let us fight for you,” this became the highest-performing campaign by volume and efficiency—producing 2,896 leads at a cost per lead of just $1.75.</w:t>
      </w:r>
      <w:r w:rsidDel="00000000" w:rsidR="00000000" w:rsidRPr="00000000">
        <w:rPr>
          <w:rtl w:val="0"/>
        </w:rPr>
      </w:r>
    </w:p>
    <w:p w:rsidR="00000000" w:rsidDel="00000000" w:rsidP="00000000" w:rsidRDefault="00000000" w:rsidRPr="00000000" w14:paraId="00000029">
      <w:pPr>
        <w:pStyle w:val="Heading3"/>
        <w:rPr/>
      </w:pPr>
      <w:r w:rsidDel="00000000" w:rsidR="00000000" w:rsidRPr="00000000">
        <w:rPr>
          <w:rtl w:val="0"/>
        </w:rPr>
        <w:t xml:space="preserve">Campaign 4: Commercial Cleaning &amp; Janitorial</w:t>
      </w:r>
    </w:p>
    <w:p w:rsidR="00000000" w:rsidDel="00000000" w:rsidP="00000000" w:rsidRDefault="00000000" w:rsidRPr="00000000" w14:paraId="0000002A">
      <w:pPr>
        <w:spacing w:after="120" w:lineRule="auto"/>
        <w:rPr/>
      </w:pPr>
      <w:r w:rsidDel="00000000" w:rsidR="00000000" w:rsidRPr="00000000">
        <w:rPr>
          <w:sz w:val="22"/>
          <w:szCs w:val="22"/>
          <w:rtl w:val="0"/>
        </w:rPr>
        <w:t xml:space="preserve">Addressed the cash flow squeeze familiar to cleaning company owners: contracts that pay in 60 days while payroll is due Friday. Scripts focused on equipment breakdowns, scaling challenges, and the gap between signed contracts and actual cash in the bank. This campaign produced 2,532 leads across three tested ad variants.</w:t>
      </w:r>
      <w:r w:rsidDel="00000000" w:rsidR="00000000" w:rsidRPr="00000000">
        <w:rPr>
          <w:rtl w:val="0"/>
        </w:rPr>
      </w:r>
    </w:p>
    <w:p w:rsidR="00000000" w:rsidDel="00000000" w:rsidP="00000000" w:rsidRDefault="00000000" w:rsidRPr="00000000" w14:paraId="0000002B">
      <w:pPr>
        <w:pStyle w:val="Heading3"/>
        <w:rPr/>
      </w:pPr>
      <w:r w:rsidDel="00000000" w:rsidR="00000000" w:rsidRPr="00000000">
        <w:rPr>
          <w:rtl w:val="0"/>
        </w:rPr>
        <w:t xml:space="preserve">Campaign 5: Roofing Contractors</w:t>
      </w:r>
    </w:p>
    <w:p w:rsidR="00000000" w:rsidDel="00000000" w:rsidP="00000000" w:rsidRDefault="00000000" w:rsidRPr="00000000" w14:paraId="0000002C">
      <w:pPr>
        <w:spacing w:after="120" w:lineRule="auto"/>
        <w:rPr/>
      </w:pPr>
      <w:r w:rsidDel="00000000" w:rsidR="00000000" w:rsidRPr="00000000">
        <w:rPr>
          <w:sz w:val="22"/>
          <w:szCs w:val="22"/>
          <w:rtl w:val="0"/>
        </w:rPr>
        <w:t xml:space="preserve">Roofing-specific creative addressed storm season urgency, supplier payment demands, and the lag between completed installs and insurance claim payouts. With hooks like “Suppliers want payment upfront, insurance claims take months, and your payroll’s due Friday,” this campaign generated 2,443 leads.</w:t>
      </w:r>
      <w:r w:rsidDel="00000000" w:rsidR="00000000" w:rsidRPr="00000000">
        <w:rPr>
          <w:rtl w:val="0"/>
        </w:rPr>
      </w:r>
    </w:p>
    <w:p w:rsidR="00000000" w:rsidDel="00000000" w:rsidP="00000000" w:rsidRDefault="00000000" w:rsidRPr="00000000" w14:paraId="0000002D">
      <w:pPr>
        <w:spacing w:after="200" w:before="200" w:lineRule="auto"/>
        <w:rPr/>
      </w:pPr>
      <w:r w:rsidDel="00000000" w:rsidR="00000000" w:rsidRPr="00000000">
        <w:rPr>
          <w:rtl w:val="0"/>
        </w:rPr>
      </w:r>
    </w:p>
    <w:p w:rsidR="00000000" w:rsidDel="00000000" w:rsidP="00000000" w:rsidRDefault="00000000" w:rsidRPr="00000000" w14:paraId="0000002E">
      <w:pPr>
        <w:pStyle w:val="Heading2"/>
        <w:rPr/>
      </w:pPr>
      <w:r w:rsidDel="00000000" w:rsidR="00000000" w:rsidRPr="00000000">
        <w:rPr>
          <w:rtl w:val="0"/>
        </w:rPr>
        <w:t xml:space="preserve">Multi-Hook Testing Framework</w:t>
      </w:r>
    </w:p>
    <w:p w:rsidR="00000000" w:rsidDel="00000000" w:rsidP="00000000" w:rsidRDefault="00000000" w:rsidRPr="00000000" w14:paraId="0000002F">
      <w:pPr>
        <w:spacing w:after="200" w:lineRule="auto"/>
        <w:rPr/>
      </w:pPr>
      <w:r w:rsidDel="00000000" w:rsidR="00000000" w:rsidRPr="00000000">
        <w:rPr>
          <w:sz w:val="22"/>
          <w:szCs w:val="22"/>
          <w:rtl w:val="0"/>
        </w:rPr>
        <w:t xml:space="preserve">Each campaign launched with 7–10 unique hooks. By testing multiple angles simultaneously—empathy-driven, urgency-driven, solution-driven, and identity-driven—we could rapidly identify which emotional triggers resonated most with each audience. Underperforming hooks were paused, and budget was reallocated to winners, which drove cost per lead down significantly over the campaign lifecycle.</w:t>
      </w:r>
      <w:r w:rsidDel="00000000" w:rsidR="00000000" w:rsidRPr="00000000">
        <w:rPr>
          <w:rtl w:val="0"/>
        </w:rPr>
      </w:r>
    </w:p>
    <w:p w:rsidR="00000000" w:rsidDel="00000000" w:rsidP="00000000" w:rsidRDefault="00000000" w:rsidRPr="00000000" w14:paraId="00000030">
      <w:pPr>
        <w:pStyle w:val="Heading2"/>
        <w:rPr/>
      </w:pPr>
      <w:r w:rsidDel="00000000" w:rsidR="00000000" w:rsidRPr="00000000">
        <w:rPr>
          <w:rtl w:val="0"/>
        </w:rPr>
        <w:t xml:space="preserve">Lead Form Optimization</w:t>
      </w:r>
    </w:p>
    <w:p w:rsidR="00000000" w:rsidDel="00000000" w:rsidP="00000000" w:rsidRDefault="00000000" w:rsidRPr="00000000" w14:paraId="00000031">
      <w:pPr>
        <w:spacing w:after="200" w:lineRule="auto"/>
        <w:rPr/>
      </w:pPr>
      <w:r w:rsidDel="00000000" w:rsidR="00000000" w:rsidRPr="00000000">
        <w:rPr>
          <w:sz w:val="22"/>
          <w:szCs w:val="22"/>
          <w:rtl w:val="0"/>
        </w:rPr>
        <w:t xml:space="preserve">All campaigns used Meta lead form ads with qualifying questions including company name, funding goals, time in business, and urgency of funding need. This front-loaded qualification into the ad experience, meaning the sales team received warm, pre-qualified leads rather than raw contact information.</w:t>
      </w:r>
      <w:r w:rsidDel="00000000" w:rsidR="00000000" w:rsidRPr="00000000">
        <w:rPr>
          <w:rtl w:val="0"/>
        </w:rPr>
      </w:r>
    </w:p>
    <w:p w:rsidR="00000000" w:rsidDel="00000000" w:rsidP="00000000" w:rsidRDefault="00000000" w:rsidRPr="00000000" w14:paraId="00000032">
      <w:pPr>
        <w:pStyle w:val="Heading2"/>
        <w:rPr/>
      </w:pPr>
      <w:r w:rsidDel="00000000" w:rsidR="00000000" w:rsidRPr="00000000">
        <w:rPr>
          <w:rtl w:val="0"/>
        </w:rPr>
        <w:t xml:space="preserve">AI-Powered Lead Activation</w:t>
      </w:r>
    </w:p>
    <w:p w:rsidR="00000000" w:rsidDel="00000000" w:rsidP="00000000" w:rsidRDefault="00000000" w:rsidRPr="00000000" w14:paraId="00000033">
      <w:pPr>
        <w:spacing w:after="200" w:lineRule="auto"/>
        <w:rPr/>
      </w:pPr>
      <w:r w:rsidDel="00000000" w:rsidR="00000000" w:rsidRPr="00000000">
        <w:rPr>
          <w:sz w:val="22"/>
          <w:szCs w:val="22"/>
          <w:rtl w:val="0"/>
        </w:rPr>
        <w:t xml:space="preserve">To solve the speed-to-contact problem, we deployed AI voice agents that automatically engaged new leads within minutes of form submission. Rather than letting leads sit in a CRM queue waiting for a human callback, the AI agents initiated outbound calls, verified the prospect’s interest and funding needs, and—when the lead was qualified—transferred them live to the client’s sales team.</w:t>
      </w:r>
      <w:r w:rsidDel="00000000" w:rsidR="00000000" w:rsidRPr="00000000">
        <w:rPr>
          <w:rtl w:val="0"/>
        </w:rPr>
      </w:r>
    </w:p>
    <w:p w:rsidR="00000000" w:rsidDel="00000000" w:rsidP="00000000" w:rsidRDefault="00000000" w:rsidRPr="00000000" w14:paraId="00000034">
      <w:pPr>
        <w:spacing w:after="200" w:lineRule="auto"/>
        <w:rPr/>
      </w:pPr>
      <w:r w:rsidDel="00000000" w:rsidR="00000000" w:rsidRPr="00000000">
        <w:rPr>
          <w:sz w:val="22"/>
          <w:szCs w:val="22"/>
          <w:rtl w:val="0"/>
        </w:rPr>
        <w:t xml:space="preserve">This approach delivered 329 live call transfers over the course of the engagement. Each transfer represented a pre-screened, actively engaged business owner connected directly to a funding specialist in real time. By compressing the time between ad click and human conversation from hours or days down to minutes, the AI agents dramatically improved the client’s ability to convert leads into funded deals.</w:t>
      </w:r>
      <w:r w:rsidDel="00000000" w:rsidR="00000000" w:rsidRPr="00000000">
        <w:rPr>
          <w:rtl w:val="0"/>
        </w:rPr>
      </w:r>
    </w:p>
    <w:p w:rsidR="00000000" w:rsidDel="00000000" w:rsidP="00000000" w:rsidRDefault="00000000" w:rsidRPr="00000000" w14:paraId="00000035">
      <w:pPr>
        <w:spacing w:after="200" w:lineRule="auto"/>
        <w:rPr/>
      </w:pPr>
      <w:r w:rsidDel="00000000" w:rsidR="00000000" w:rsidRPr="00000000">
        <w:rPr>
          <w:sz w:val="22"/>
          <w:szCs w:val="22"/>
          <w:rtl w:val="0"/>
        </w:rPr>
        <w:t xml:space="preserve">The AI agent layer effectively turned a high-volume lead generation engine into a full-funnel sales acceleration system—combining the scale of Meta ads with the immediacy and qualification power of AI-driven outbound calling.</w:t>
      </w:r>
      <w:r w:rsidDel="00000000" w:rsidR="00000000" w:rsidRPr="00000000">
        <w:rPr>
          <w:rtl w:val="0"/>
        </w:rPr>
      </w:r>
    </w:p>
    <w:p w:rsidR="00000000" w:rsidDel="00000000" w:rsidP="00000000" w:rsidRDefault="00000000" w:rsidRPr="00000000" w14:paraId="00000036">
      <w:pPr>
        <w:rPr/>
      </w:pP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rPr/>
      </w:pPr>
      <w:r w:rsidDel="00000000" w:rsidR="00000000" w:rsidRPr="00000000">
        <w:rPr>
          <w:rtl w:val="0"/>
        </w:rPr>
        <w:t xml:space="preserve">The Results</w:t>
      </w:r>
    </w:p>
    <w:p w:rsidR="00000000" w:rsidDel="00000000" w:rsidP="00000000" w:rsidRDefault="00000000" w:rsidRPr="00000000" w14:paraId="00000038">
      <w:pPr>
        <w:spacing w:after="200" w:lineRule="auto"/>
        <w:rPr/>
      </w:pPr>
      <w:r w:rsidDel="00000000" w:rsidR="00000000" w:rsidRPr="00000000">
        <w:rPr>
          <w:sz w:val="22"/>
          <w:szCs w:val="22"/>
          <w:rtl w:val="0"/>
        </w:rPr>
        <w:t xml:space="preserve">Across all five campaigns running from September through December 2025, the engagement delivered exceptional volume and efficiency well below industry benchmarks for financial services lead generation.</w:t>
      </w:r>
      <w:r w:rsidDel="00000000" w:rsidR="00000000" w:rsidRPr="00000000">
        <w:rPr>
          <w:rtl w:val="0"/>
        </w:rPr>
      </w:r>
    </w:p>
    <w:p w:rsidR="00000000" w:rsidDel="00000000" w:rsidP="00000000" w:rsidRDefault="00000000" w:rsidRPr="00000000" w14:paraId="00000039">
      <w:pPr>
        <w:pStyle w:val="Heading2"/>
        <w:rPr/>
      </w:pPr>
      <w:r w:rsidDel="00000000" w:rsidR="00000000" w:rsidRPr="00000000">
        <w:rPr>
          <w:rtl w:val="0"/>
        </w:rPr>
        <w:t xml:space="preserve">Overall Performance</w:t>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0f6fa" w:val="clear"/>
            <w:tcMar>
              <w:top w:w="60.0" w:type="dxa"/>
              <w:left w:w="120.0" w:type="dxa"/>
              <w:bottom w:w="60.0" w:type="dxa"/>
              <w:right w:w="120.0" w:type="dxa"/>
            </w:tcMar>
          </w:tcPr>
          <w:p w:rsidR="00000000" w:rsidDel="00000000" w:rsidP="00000000" w:rsidRDefault="00000000" w:rsidRPr="00000000" w14:paraId="0000003A">
            <w:pPr>
              <w:rPr/>
            </w:pPr>
            <w:r w:rsidDel="00000000" w:rsidR="00000000" w:rsidRPr="00000000">
              <w:rPr>
                <w:rFonts w:ascii="Arial" w:cs="Arial" w:eastAsia="Arial" w:hAnsi="Arial"/>
                <w:color w:val="4a5568"/>
                <w:sz w:val="20"/>
                <w:szCs w:val="20"/>
                <w:rtl w:val="0"/>
              </w:rPr>
              <w:t xml:space="preserve">Total Ad Spend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0f6fa" w:val="clear"/>
            <w:tcMar>
              <w:top w:w="60.0" w:type="dxa"/>
              <w:left w:w="120.0" w:type="dxa"/>
              <w:bottom w:w="60.0" w:type="dxa"/>
              <w:right w:w="120.0" w:type="dxa"/>
            </w:tcMar>
          </w:tcPr>
          <w:p w:rsidR="00000000" w:rsidDel="00000000" w:rsidP="00000000" w:rsidRDefault="00000000" w:rsidRPr="00000000" w14:paraId="0000003B">
            <w:pPr>
              <w:jc w:val="right"/>
              <w:rPr/>
            </w:pPr>
            <w:r w:rsidDel="00000000" w:rsidR="00000000" w:rsidRPr="00000000">
              <w:rPr>
                <w:rFonts w:ascii="Arial" w:cs="Arial" w:eastAsia="Arial" w:hAnsi="Arial"/>
                <w:b w:val="1"/>
                <w:bCs w:val="1"/>
                <w:color w:val="1b2a4a"/>
                <w:sz w:val="20"/>
                <w:szCs w:val="20"/>
                <w:rtl w:val="0"/>
              </w:rPr>
              <w:t xml:space="preserve">$57,187</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60.0" w:type="dxa"/>
              <w:left w:w="120.0" w:type="dxa"/>
              <w:bottom w:w="60.0" w:type="dxa"/>
              <w:right w:w="120.0" w:type="dxa"/>
            </w:tcMar>
          </w:tcPr>
          <w:p w:rsidR="00000000" w:rsidDel="00000000" w:rsidP="00000000" w:rsidRDefault="00000000" w:rsidRPr="00000000" w14:paraId="0000003C">
            <w:pPr>
              <w:rPr/>
            </w:pPr>
            <w:r w:rsidDel="00000000" w:rsidR="00000000" w:rsidRPr="00000000">
              <w:rPr>
                <w:rFonts w:ascii="Arial" w:cs="Arial" w:eastAsia="Arial" w:hAnsi="Arial"/>
                <w:color w:val="4a5568"/>
                <w:sz w:val="20"/>
                <w:szCs w:val="20"/>
                <w:rtl w:val="0"/>
              </w:rPr>
              <w:t xml:space="preserve">Total Impressions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60.0" w:type="dxa"/>
              <w:left w:w="120.0" w:type="dxa"/>
              <w:bottom w:w="60.0" w:type="dxa"/>
              <w:right w:w="120.0" w:type="dxa"/>
            </w:tcMar>
          </w:tcPr>
          <w:p w:rsidR="00000000" w:rsidDel="00000000" w:rsidP="00000000" w:rsidRDefault="00000000" w:rsidRPr="00000000" w14:paraId="0000003D">
            <w:pPr>
              <w:jc w:val="right"/>
              <w:rPr/>
            </w:pPr>
            <w:r w:rsidDel="00000000" w:rsidR="00000000" w:rsidRPr="00000000">
              <w:rPr>
                <w:rFonts w:ascii="Arial" w:cs="Arial" w:eastAsia="Arial" w:hAnsi="Arial"/>
                <w:b w:val="1"/>
                <w:bCs w:val="1"/>
                <w:color w:val="1b2a4a"/>
                <w:sz w:val="20"/>
                <w:szCs w:val="20"/>
                <w:rtl w:val="0"/>
              </w:rPr>
              <w:t xml:space="preserve">1,321,000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0f6fa" w:val="clear"/>
            <w:tcMar>
              <w:top w:w="60.0" w:type="dxa"/>
              <w:left w:w="120.0" w:type="dxa"/>
              <w:bottom w:w="60.0" w:type="dxa"/>
              <w:right w:w="120.0" w:type="dxa"/>
            </w:tcMar>
          </w:tcPr>
          <w:p w:rsidR="00000000" w:rsidDel="00000000" w:rsidP="00000000" w:rsidRDefault="00000000" w:rsidRPr="00000000" w14:paraId="0000003E">
            <w:pPr>
              <w:rPr/>
            </w:pPr>
            <w:r w:rsidDel="00000000" w:rsidR="00000000" w:rsidRPr="00000000">
              <w:rPr>
                <w:rFonts w:ascii="Arial" w:cs="Arial" w:eastAsia="Arial" w:hAnsi="Arial"/>
                <w:color w:val="4a5568"/>
                <w:sz w:val="20"/>
                <w:szCs w:val="20"/>
                <w:rtl w:val="0"/>
              </w:rPr>
              <w:t xml:space="preserve">Total Clicks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0f6fa" w:val="clear"/>
            <w:tcMar>
              <w:top w:w="60.0" w:type="dxa"/>
              <w:left w:w="120.0" w:type="dxa"/>
              <w:bottom w:w="60.0" w:type="dxa"/>
              <w:right w:w="120.0" w:type="dxa"/>
            </w:tcMar>
          </w:tcPr>
          <w:p w:rsidR="00000000" w:rsidDel="00000000" w:rsidP="00000000" w:rsidRDefault="00000000" w:rsidRPr="00000000" w14:paraId="0000003F">
            <w:pPr>
              <w:jc w:val="right"/>
              <w:rPr/>
            </w:pPr>
            <w:r w:rsidDel="00000000" w:rsidR="00000000" w:rsidRPr="00000000">
              <w:rPr>
                <w:rFonts w:ascii="Arial" w:cs="Arial" w:eastAsia="Arial" w:hAnsi="Arial"/>
                <w:b w:val="1"/>
                <w:bCs w:val="1"/>
                <w:color w:val="1b2a4a"/>
                <w:sz w:val="20"/>
                <w:szCs w:val="20"/>
                <w:rtl w:val="0"/>
              </w:rPr>
              <w:t xml:space="preserve">27,800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60.0" w:type="dxa"/>
              <w:left w:w="120.0" w:type="dxa"/>
              <w:bottom w:w="60.0" w:type="dxa"/>
              <w:right w:w="120.0" w:type="dxa"/>
            </w:tcMar>
          </w:tcPr>
          <w:p w:rsidR="00000000" w:rsidDel="00000000" w:rsidP="00000000" w:rsidRDefault="00000000" w:rsidRPr="00000000" w14:paraId="00000040">
            <w:pPr>
              <w:rPr/>
            </w:pPr>
            <w:r w:rsidDel="00000000" w:rsidR="00000000" w:rsidRPr="00000000">
              <w:rPr>
                <w:rFonts w:ascii="Arial" w:cs="Arial" w:eastAsia="Arial" w:hAnsi="Arial"/>
                <w:color w:val="4a5568"/>
                <w:sz w:val="20"/>
                <w:szCs w:val="20"/>
                <w:rtl w:val="0"/>
              </w:rPr>
              <w:t xml:space="preserve">Total Leads Generated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60.0" w:type="dxa"/>
              <w:left w:w="120.0" w:type="dxa"/>
              <w:bottom w:w="60.0" w:type="dxa"/>
              <w:right w:w="120.0" w:type="dxa"/>
            </w:tcMar>
          </w:tcPr>
          <w:p w:rsidR="00000000" w:rsidDel="00000000" w:rsidP="00000000" w:rsidRDefault="00000000" w:rsidRPr="00000000" w14:paraId="00000041">
            <w:pPr>
              <w:jc w:val="right"/>
              <w:rPr/>
            </w:pPr>
            <w:r w:rsidDel="00000000" w:rsidR="00000000" w:rsidRPr="00000000">
              <w:rPr>
                <w:rFonts w:ascii="Arial" w:cs="Arial" w:eastAsia="Arial" w:hAnsi="Arial"/>
                <w:b w:val="1"/>
                <w:bCs w:val="1"/>
                <w:color w:val="1b2a4a"/>
                <w:sz w:val="20"/>
                <w:szCs w:val="20"/>
                <w:rtl w:val="0"/>
              </w:rPr>
              <w:t xml:space="preserve">12,765</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0f6fa" w:val="clear"/>
            <w:tcMar>
              <w:top w:w="60.0" w:type="dxa"/>
              <w:left w:w="120.0" w:type="dxa"/>
              <w:bottom w:w="60.0" w:type="dxa"/>
              <w:right w:w="120.0" w:type="dxa"/>
            </w:tcMar>
          </w:tcPr>
          <w:p w:rsidR="00000000" w:rsidDel="00000000" w:rsidP="00000000" w:rsidRDefault="00000000" w:rsidRPr="00000000" w14:paraId="00000042">
            <w:pPr>
              <w:rPr/>
            </w:pPr>
            <w:r w:rsidDel="00000000" w:rsidR="00000000" w:rsidRPr="00000000">
              <w:rPr>
                <w:rFonts w:ascii="Arial" w:cs="Arial" w:eastAsia="Arial" w:hAnsi="Arial"/>
                <w:color w:val="4a5568"/>
                <w:sz w:val="20"/>
                <w:szCs w:val="20"/>
                <w:rtl w:val="0"/>
              </w:rPr>
              <w:t xml:space="preserve">Live Call Transfers (AI Agents)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0f6fa" w:val="clear"/>
            <w:tcMar>
              <w:top w:w="60.0" w:type="dxa"/>
              <w:left w:w="120.0" w:type="dxa"/>
              <w:bottom w:w="60.0" w:type="dxa"/>
              <w:right w:w="120.0" w:type="dxa"/>
            </w:tcMar>
          </w:tcPr>
          <w:p w:rsidR="00000000" w:rsidDel="00000000" w:rsidP="00000000" w:rsidRDefault="00000000" w:rsidRPr="00000000" w14:paraId="00000043">
            <w:pPr>
              <w:jc w:val="right"/>
              <w:rPr/>
            </w:pPr>
            <w:r w:rsidDel="00000000" w:rsidR="00000000" w:rsidRPr="00000000">
              <w:rPr>
                <w:rFonts w:ascii="Arial" w:cs="Arial" w:eastAsia="Arial" w:hAnsi="Arial"/>
                <w:b w:val="1"/>
                <w:bCs w:val="1"/>
                <w:color w:val="1b2a4a"/>
                <w:sz w:val="20"/>
                <w:szCs w:val="20"/>
                <w:rtl w:val="0"/>
              </w:rPr>
              <w:t xml:space="preserve">329</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60.0" w:type="dxa"/>
              <w:left w:w="120.0" w:type="dxa"/>
              <w:bottom w:w="60.0" w:type="dxa"/>
              <w:right w:w="120.0" w:type="dxa"/>
            </w:tcMar>
          </w:tcPr>
          <w:p w:rsidR="00000000" w:rsidDel="00000000" w:rsidP="00000000" w:rsidRDefault="00000000" w:rsidRPr="00000000" w14:paraId="00000044">
            <w:pPr>
              <w:rPr/>
            </w:pPr>
            <w:r w:rsidDel="00000000" w:rsidR="00000000" w:rsidRPr="00000000">
              <w:rPr>
                <w:rFonts w:ascii="Arial" w:cs="Arial" w:eastAsia="Arial" w:hAnsi="Arial"/>
                <w:color w:val="4a5568"/>
                <w:sz w:val="20"/>
                <w:szCs w:val="20"/>
                <w:rtl w:val="0"/>
              </w:rPr>
              <w:t xml:space="preserve">Lead-to-Transfer Rate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60.0" w:type="dxa"/>
              <w:left w:w="120.0" w:type="dxa"/>
              <w:bottom w:w="60.0" w:type="dxa"/>
              <w:right w:w="120.0" w:type="dxa"/>
            </w:tcMar>
          </w:tcPr>
          <w:p w:rsidR="00000000" w:rsidDel="00000000" w:rsidP="00000000" w:rsidRDefault="00000000" w:rsidRPr="00000000" w14:paraId="00000045">
            <w:pPr>
              <w:jc w:val="right"/>
              <w:rPr/>
            </w:pPr>
            <w:r w:rsidDel="00000000" w:rsidR="00000000" w:rsidRPr="00000000">
              <w:rPr>
                <w:rFonts w:ascii="Arial" w:cs="Arial" w:eastAsia="Arial" w:hAnsi="Arial"/>
                <w:b w:val="1"/>
                <w:bCs w:val="1"/>
                <w:color w:val="1b2a4a"/>
                <w:sz w:val="20"/>
                <w:szCs w:val="20"/>
                <w:rtl w:val="0"/>
              </w:rPr>
              <w:t xml:space="preserve">2.6%</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0f6fa" w:val="clear"/>
            <w:tcMar>
              <w:top w:w="60.0" w:type="dxa"/>
              <w:left w:w="120.0" w:type="dxa"/>
              <w:bottom w:w="60.0" w:type="dxa"/>
              <w:right w:w="120.0" w:type="dxa"/>
            </w:tcMar>
          </w:tcPr>
          <w:p w:rsidR="00000000" w:rsidDel="00000000" w:rsidP="00000000" w:rsidRDefault="00000000" w:rsidRPr="00000000" w14:paraId="00000046">
            <w:pPr>
              <w:rPr/>
            </w:pPr>
            <w:r w:rsidDel="00000000" w:rsidR="00000000" w:rsidRPr="00000000">
              <w:rPr>
                <w:rFonts w:ascii="Arial" w:cs="Arial" w:eastAsia="Arial" w:hAnsi="Arial"/>
                <w:color w:val="4a5568"/>
                <w:sz w:val="20"/>
                <w:szCs w:val="20"/>
                <w:rtl w:val="0"/>
              </w:rPr>
              <w:t xml:space="preserve">Blended Cost Per Lead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0f6fa" w:val="clear"/>
            <w:tcMar>
              <w:top w:w="60.0" w:type="dxa"/>
              <w:left w:w="120.0" w:type="dxa"/>
              <w:bottom w:w="60.0" w:type="dxa"/>
              <w:right w:w="120.0" w:type="dxa"/>
            </w:tcMar>
          </w:tcPr>
          <w:p w:rsidR="00000000" w:rsidDel="00000000" w:rsidP="00000000" w:rsidRDefault="00000000" w:rsidRPr="00000000" w14:paraId="00000047">
            <w:pPr>
              <w:jc w:val="right"/>
              <w:rPr/>
            </w:pPr>
            <w:r w:rsidDel="00000000" w:rsidR="00000000" w:rsidRPr="00000000">
              <w:rPr>
                <w:rFonts w:ascii="Arial" w:cs="Arial" w:eastAsia="Arial" w:hAnsi="Arial"/>
                <w:b w:val="1"/>
                <w:bCs w:val="1"/>
                <w:color w:val="1b2a4a"/>
                <w:sz w:val="20"/>
                <w:szCs w:val="20"/>
                <w:rtl w:val="0"/>
              </w:rPr>
              <w:t xml:space="preserve">$4.48</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60.0" w:type="dxa"/>
              <w:left w:w="120.0" w:type="dxa"/>
              <w:bottom w:w="60.0" w:type="dxa"/>
              <w:right w:w="120.0" w:type="dxa"/>
            </w:tcMar>
          </w:tcPr>
          <w:p w:rsidR="00000000" w:rsidDel="00000000" w:rsidP="00000000" w:rsidRDefault="00000000" w:rsidRPr="00000000" w14:paraId="00000048">
            <w:pPr>
              <w:rPr/>
            </w:pPr>
            <w:r w:rsidDel="00000000" w:rsidR="00000000" w:rsidRPr="00000000">
              <w:rPr>
                <w:rFonts w:ascii="Arial" w:cs="Arial" w:eastAsia="Arial" w:hAnsi="Arial"/>
                <w:color w:val="4a5568"/>
                <w:sz w:val="20"/>
                <w:szCs w:val="20"/>
                <w:rtl w:val="0"/>
              </w:rPr>
              <w:t xml:space="preserve">Blended Cost Per Click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60.0" w:type="dxa"/>
              <w:left w:w="120.0" w:type="dxa"/>
              <w:bottom w:w="60.0" w:type="dxa"/>
              <w:right w:w="120.0" w:type="dxa"/>
            </w:tcMar>
          </w:tcPr>
          <w:p w:rsidR="00000000" w:rsidDel="00000000" w:rsidP="00000000" w:rsidRDefault="00000000" w:rsidRPr="00000000" w14:paraId="00000049">
            <w:pPr>
              <w:jc w:val="right"/>
              <w:rPr/>
            </w:pPr>
            <w:r w:rsidDel="00000000" w:rsidR="00000000" w:rsidRPr="00000000">
              <w:rPr>
                <w:rFonts w:ascii="Arial" w:cs="Arial" w:eastAsia="Arial" w:hAnsi="Arial"/>
                <w:b w:val="1"/>
                <w:bCs w:val="1"/>
                <w:color w:val="1b2a4a"/>
                <w:sz w:val="20"/>
                <w:szCs w:val="20"/>
                <w:rtl w:val="0"/>
              </w:rPr>
              <w:t xml:space="preserve">$2.06</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0f6fa" w:val="clear"/>
            <w:tcMar>
              <w:top w:w="60.0" w:type="dxa"/>
              <w:left w:w="120.0" w:type="dxa"/>
              <w:bottom w:w="60.0" w:type="dxa"/>
              <w:right w:w="120.0" w:type="dxa"/>
            </w:tcMar>
          </w:tcPr>
          <w:p w:rsidR="00000000" w:rsidDel="00000000" w:rsidP="00000000" w:rsidRDefault="00000000" w:rsidRPr="00000000" w14:paraId="0000004A">
            <w:pPr>
              <w:rPr/>
            </w:pPr>
            <w:r w:rsidDel="00000000" w:rsidR="00000000" w:rsidRPr="00000000">
              <w:rPr>
                <w:rFonts w:ascii="Arial" w:cs="Arial" w:eastAsia="Arial" w:hAnsi="Arial"/>
                <w:color w:val="4a5568"/>
                <w:sz w:val="20"/>
                <w:szCs w:val="20"/>
                <w:rtl w:val="0"/>
              </w:rPr>
              <w:t xml:space="preserve">Overall Click-Through Rate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0f6fa" w:val="clear"/>
            <w:tcMar>
              <w:top w:w="60.0" w:type="dxa"/>
              <w:left w:w="120.0" w:type="dxa"/>
              <w:bottom w:w="60.0" w:type="dxa"/>
              <w:right w:w="120.0" w:type="dxa"/>
            </w:tcMar>
          </w:tcPr>
          <w:p w:rsidR="00000000" w:rsidDel="00000000" w:rsidP="00000000" w:rsidRDefault="00000000" w:rsidRPr="00000000" w14:paraId="0000004B">
            <w:pPr>
              <w:jc w:val="right"/>
              <w:rPr/>
            </w:pPr>
            <w:r w:rsidDel="00000000" w:rsidR="00000000" w:rsidRPr="00000000">
              <w:rPr>
                <w:rFonts w:ascii="Arial" w:cs="Arial" w:eastAsia="Arial" w:hAnsi="Arial"/>
                <w:b w:val="1"/>
                <w:bCs w:val="1"/>
                <w:color w:val="1b2a4a"/>
                <w:sz w:val="20"/>
                <w:szCs w:val="20"/>
                <w:rtl w:val="0"/>
              </w:rPr>
              <w:t xml:space="preserve">2.11%</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60.0" w:type="dxa"/>
              <w:left w:w="120.0" w:type="dxa"/>
              <w:bottom w:w="60.0" w:type="dxa"/>
              <w:right w:w="120.0" w:type="dxa"/>
            </w:tcMar>
          </w:tcPr>
          <w:p w:rsidR="00000000" w:rsidDel="00000000" w:rsidP="00000000" w:rsidRDefault="00000000" w:rsidRPr="00000000" w14:paraId="0000004C">
            <w:pPr>
              <w:rPr/>
            </w:pPr>
            <w:r w:rsidDel="00000000" w:rsidR="00000000" w:rsidRPr="00000000">
              <w:rPr>
                <w:rFonts w:ascii="Arial" w:cs="Arial" w:eastAsia="Arial" w:hAnsi="Arial"/>
                <w:color w:val="4a5568"/>
                <w:sz w:val="20"/>
                <w:szCs w:val="20"/>
                <w:rtl w:val="0"/>
              </w:rPr>
              <w:t xml:space="preserve">Average Conversion Rate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60.0" w:type="dxa"/>
              <w:left w:w="120.0" w:type="dxa"/>
              <w:bottom w:w="60.0" w:type="dxa"/>
              <w:right w:w="120.0" w:type="dxa"/>
            </w:tcMar>
          </w:tcPr>
          <w:p w:rsidR="00000000" w:rsidDel="00000000" w:rsidP="00000000" w:rsidRDefault="00000000" w:rsidRPr="00000000" w14:paraId="0000004D">
            <w:pPr>
              <w:jc w:val="right"/>
              <w:rPr/>
            </w:pPr>
            <w:r w:rsidDel="00000000" w:rsidR="00000000" w:rsidRPr="00000000">
              <w:rPr>
                <w:rFonts w:ascii="Arial" w:cs="Arial" w:eastAsia="Arial" w:hAnsi="Arial"/>
                <w:b w:val="1"/>
                <w:bCs w:val="1"/>
                <w:color w:val="1b2a4a"/>
                <w:sz w:val="20"/>
                <w:szCs w:val="20"/>
                <w:rtl w:val="0"/>
              </w:rPr>
              <w:t xml:space="preserve">45.9%</w:t>
            </w:r>
            <w:r w:rsidDel="00000000" w:rsidR="00000000" w:rsidRPr="00000000">
              <w:rPr>
                <w:rtl w:val="0"/>
              </w:rPr>
            </w:r>
          </w:p>
        </w:tc>
      </w:tr>
    </w:tbl>
    <w:p w:rsidR="00000000" w:rsidDel="00000000" w:rsidP="00000000" w:rsidRDefault="00000000" w:rsidRPr="00000000" w14:paraId="0000004E">
      <w:pPr>
        <w:spacing w:after="200" w:before="200" w:lineRule="auto"/>
        <w:rPr/>
      </w:pPr>
      <w:r w:rsidDel="00000000" w:rsidR="00000000" w:rsidRPr="00000000">
        <w:rPr>
          <w:rtl w:val="0"/>
        </w:rPr>
      </w:r>
    </w:p>
    <w:p w:rsidR="00000000" w:rsidDel="00000000" w:rsidP="00000000" w:rsidRDefault="00000000" w:rsidRPr="00000000" w14:paraId="0000004F">
      <w:pPr>
        <w:pStyle w:val="Heading2"/>
        <w:rPr/>
      </w:pPr>
      <w:r w:rsidDel="00000000" w:rsidR="00000000" w:rsidRPr="00000000">
        <w:rPr>
          <w:rtl w:val="0"/>
        </w:rPr>
        <w:t xml:space="preserve">Campaign Breakdown</w:t>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1640"/>
        <w:gridCol w:w="1640"/>
        <w:gridCol w:w="1640"/>
        <w:gridCol w:w="1640"/>
        <w:tblGridChange w:id="0">
          <w:tblGrid>
            <w:gridCol w:w="2800"/>
            <w:gridCol w:w="1640"/>
            <w:gridCol w:w="1640"/>
            <w:gridCol w:w="1640"/>
            <w:gridCol w:w="164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1b2a4a" w:val="clear"/>
            <w:tcMar>
              <w:top w:w="80.0" w:type="dxa"/>
              <w:left w:w="100.0" w:type="dxa"/>
              <w:bottom w:w="80.0" w:type="dxa"/>
              <w:right w:w="100.0" w:type="dxa"/>
            </w:tcMar>
          </w:tcPr>
          <w:p w:rsidR="00000000" w:rsidDel="00000000" w:rsidP="00000000" w:rsidRDefault="00000000" w:rsidRPr="00000000" w14:paraId="00000050">
            <w:pPr>
              <w:jc w:val="left"/>
              <w:rPr/>
            </w:pPr>
            <w:r w:rsidDel="00000000" w:rsidR="00000000" w:rsidRPr="00000000">
              <w:rPr>
                <w:rFonts w:ascii="Arial" w:cs="Arial" w:eastAsia="Arial" w:hAnsi="Arial"/>
                <w:b w:val="1"/>
                <w:bCs w:val="1"/>
                <w:color w:val="ffffff"/>
                <w:sz w:val="18"/>
                <w:szCs w:val="18"/>
                <w:rtl w:val="0"/>
              </w:rPr>
              <w:t xml:space="preserve">Campaign</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1b2a4a" w:val="clear"/>
            <w:tcMar>
              <w:top w:w="80.0" w:type="dxa"/>
              <w:left w:w="100.0" w:type="dxa"/>
              <w:bottom w:w="80.0" w:type="dxa"/>
              <w:right w:w="100.0" w:type="dxa"/>
            </w:tcMar>
          </w:tcPr>
          <w:p w:rsidR="00000000" w:rsidDel="00000000" w:rsidP="00000000" w:rsidRDefault="00000000" w:rsidRPr="00000000" w14:paraId="00000051">
            <w:pPr>
              <w:jc w:val="center"/>
              <w:rPr/>
            </w:pPr>
            <w:r w:rsidDel="00000000" w:rsidR="00000000" w:rsidRPr="00000000">
              <w:rPr>
                <w:rFonts w:ascii="Arial" w:cs="Arial" w:eastAsia="Arial" w:hAnsi="Arial"/>
                <w:b w:val="1"/>
                <w:bCs w:val="1"/>
                <w:color w:val="ffffff"/>
                <w:sz w:val="18"/>
                <w:szCs w:val="18"/>
                <w:rtl w:val="0"/>
              </w:rPr>
              <w:t xml:space="preserve">Leads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1b2a4a" w:val="clear"/>
            <w:tcMar>
              <w:top w:w="80.0" w:type="dxa"/>
              <w:left w:w="100.0" w:type="dxa"/>
              <w:bottom w:w="80.0" w:type="dxa"/>
              <w:right w:w="100.0" w:type="dxa"/>
            </w:tcMar>
          </w:tcPr>
          <w:p w:rsidR="00000000" w:rsidDel="00000000" w:rsidP="00000000" w:rsidRDefault="00000000" w:rsidRPr="00000000" w14:paraId="00000052">
            <w:pPr>
              <w:jc w:val="center"/>
              <w:rPr/>
            </w:pPr>
            <w:r w:rsidDel="00000000" w:rsidR="00000000" w:rsidRPr="00000000">
              <w:rPr>
                <w:rFonts w:ascii="Arial" w:cs="Arial" w:eastAsia="Arial" w:hAnsi="Arial"/>
                <w:b w:val="1"/>
                <w:bCs w:val="1"/>
                <w:color w:val="ffffff"/>
                <w:sz w:val="18"/>
                <w:szCs w:val="18"/>
                <w:rtl w:val="0"/>
              </w:rPr>
              <w:t xml:space="preserve">Spend</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1b2a4a" w:val="clear"/>
            <w:tcMar>
              <w:top w:w="80.0" w:type="dxa"/>
              <w:left w:w="100.0" w:type="dxa"/>
              <w:bottom w:w="80.0" w:type="dxa"/>
              <w:right w:w="100.0" w:type="dxa"/>
            </w:tcMar>
          </w:tcPr>
          <w:p w:rsidR="00000000" w:rsidDel="00000000" w:rsidP="00000000" w:rsidRDefault="00000000" w:rsidRPr="00000000" w14:paraId="00000053">
            <w:pPr>
              <w:jc w:val="center"/>
              <w:rPr/>
            </w:pPr>
            <w:r w:rsidDel="00000000" w:rsidR="00000000" w:rsidRPr="00000000">
              <w:rPr>
                <w:rFonts w:ascii="Arial" w:cs="Arial" w:eastAsia="Arial" w:hAnsi="Arial"/>
                <w:b w:val="1"/>
                <w:bCs w:val="1"/>
                <w:color w:val="ffffff"/>
                <w:sz w:val="18"/>
                <w:szCs w:val="18"/>
                <w:rtl w:val="0"/>
              </w:rPr>
              <w:t xml:space="preserve">CPL</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1b2a4a" w:val="clear"/>
            <w:tcMar>
              <w:top w:w="80.0" w:type="dxa"/>
              <w:left w:w="100.0" w:type="dxa"/>
              <w:bottom w:w="80.0" w:type="dxa"/>
              <w:right w:w="100.0" w:type="dxa"/>
            </w:tcMar>
          </w:tcPr>
          <w:p w:rsidR="00000000" w:rsidDel="00000000" w:rsidP="00000000" w:rsidRDefault="00000000" w:rsidRPr="00000000" w14:paraId="00000054">
            <w:pPr>
              <w:jc w:val="center"/>
              <w:rPr/>
            </w:pPr>
            <w:r w:rsidDel="00000000" w:rsidR="00000000" w:rsidRPr="00000000">
              <w:rPr>
                <w:rFonts w:ascii="Arial" w:cs="Arial" w:eastAsia="Arial" w:hAnsi="Arial"/>
                <w:b w:val="1"/>
                <w:bCs w:val="1"/>
                <w:color w:val="ffffff"/>
                <w:sz w:val="18"/>
                <w:szCs w:val="18"/>
                <w:rtl w:val="0"/>
              </w:rPr>
              <w:t xml:space="preserve">Conv. Rate</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f0f6fa" w:val="clear"/>
            <w:tcMar>
              <w:top w:w="60.0" w:type="dxa"/>
              <w:left w:w="100.0" w:type="dxa"/>
              <w:bottom w:w="60.0" w:type="dxa"/>
              <w:right w:w="100.0" w:type="dxa"/>
            </w:tcMar>
          </w:tcPr>
          <w:p w:rsidR="00000000" w:rsidDel="00000000" w:rsidP="00000000" w:rsidRDefault="00000000" w:rsidRPr="00000000" w14:paraId="00000055">
            <w:pPr>
              <w:jc w:val="left"/>
              <w:rPr/>
            </w:pPr>
            <w:r w:rsidDel="00000000" w:rsidR="00000000" w:rsidRPr="00000000">
              <w:rPr>
                <w:rFonts w:ascii="Arial" w:cs="Arial" w:eastAsia="Arial" w:hAnsi="Arial"/>
                <w:color w:val="1b2a4a"/>
                <w:sz w:val="18"/>
                <w:szCs w:val="18"/>
                <w:rtl w:val="0"/>
              </w:rPr>
              <w:t xml:space="preserve">General (US)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100.0" w:type="dxa"/>
              <w:bottom w:w="60.0" w:type="dxa"/>
              <w:right w:w="100.0" w:type="dxa"/>
            </w:tcMar>
          </w:tcPr>
          <w:p w:rsidR="00000000" w:rsidDel="00000000" w:rsidP="00000000" w:rsidRDefault="00000000" w:rsidRPr="00000000" w14:paraId="00000056">
            <w:pPr>
              <w:jc w:val="center"/>
              <w:rPr/>
            </w:pPr>
            <w:r w:rsidDel="00000000" w:rsidR="00000000" w:rsidRPr="00000000">
              <w:rPr>
                <w:rFonts w:ascii="Arial" w:cs="Arial" w:eastAsia="Arial" w:hAnsi="Arial"/>
                <w:color w:val="1b2a4a"/>
                <w:sz w:val="18"/>
                <w:szCs w:val="18"/>
                <w:rtl w:val="0"/>
              </w:rPr>
              <w:t xml:space="preserve">2,415</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100.0" w:type="dxa"/>
              <w:bottom w:w="60.0" w:type="dxa"/>
              <w:right w:w="100.0" w:type="dxa"/>
            </w:tcMar>
          </w:tcPr>
          <w:p w:rsidR="00000000" w:rsidDel="00000000" w:rsidP="00000000" w:rsidRDefault="00000000" w:rsidRPr="00000000" w14:paraId="00000057">
            <w:pPr>
              <w:jc w:val="center"/>
              <w:rPr/>
            </w:pPr>
            <w:r w:rsidDel="00000000" w:rsidR="00000000" w:rsidRPr="00000000">
              <w:rPr>
                <w:rFonts w:ascii="Arial" w:cs="Arial" w:eastAsia="Arial" w:hAnsi="Arial"/>
                <w:color w:val="1b2a4a"/>
                <w:sz w:val="18"/>
                <w:szCs w:val="18"/>
                <w:rtl w:val="0"/>
              </w:rPr>
              <w:t xml:space="preserve">$12,656*</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100.0" w:type="dxa"/>
              <w:bottom w:w="60.0" w:type="dxa"/>
              <w:right w:w="100.0" w:type="dxa"/>
            </w:tcMar>
          </w:tcPr>
          <w:p w:rsidR="00000000" w:rsidDel="00000000" w:rsidP="00000000" w:rsidRDefault="00000000" w:rsidRPr="00000000" w14:paraId="00000058">
            <w:pPr>
              <w:jc w:val="center"/>
              <w:rPr/>
            </w:pPr>
            <w:r w:rsidDel="00000000" w:rsidR="00000000" w:rsidRPr="00000000">
              <w:rPr>
                <w:rFonts w:ascii="Arial" w:cs="Arial" w:eastAsia="Arial" w:hAnsi="Arial"/>
                <w:color w:val="1b2a4a"/>
                <w:sz w:val="18"/>
                <w:szCs w:val="18"/>
                <w:rtl w:val="0"/>
              </w:rPr>
              <w:t xml:space="preserve">$5.13*</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100.0" w:type="dxa"/>
              <w:bottom w:w="60.0" w:type="dxa"/>
              <w:right w:w="100.0" w:type="dxa"/>
            </w:tcMar>
          </w:tcPr>
          <w:p w:rsidR="00000000" w:rsidDel="00000000" w:rsidP="00000000" w:rsidRDefault="00000000" w:rsidRPr="00000000" w14:paraId="00000059">
            <w:pPr>
              <w:jc w:val="center"/>
              <w:rPr/>
            </w:pPr>
            <w:r w:rsidDel="00000000" w:rsidR="00000000" w:rsidRPr="00000000">
              <w:rPr>
                <w:rFonts w:ascii="Arial" w:cs="Arial" w:eastAsia="Arial" w:hAnsi="Arial"/>
                <w:color w:val="1b2a4a"/>
                <w:sz w:val="18"/>
                <w:szCs w:val="18"/>
                <w:rtl w:val="0"/>
              </w:rPr>
              <w:t xml:space="preserve">43.7%*</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ffffff" w:val="clear"/>
            <w:tcMar>
              <w:top w:w="60.0" w:type="dxa"/>
              <w:left w:w="100.0" w:type="dxa"/>
              <w:bottom w:w="60.0" w:type="dxa"/>
              <w:right w:w="100.0" w:type="dxa"/>
            </w:tcMar>
          </w:tcPr>
          <w:p w:rsidR="00000000" w:rsidDel="00000000" w:rsidP="00000000" w:rsidRDefault="00000000" w:rsidRPr="00000000" w14:paraId="0000005A">
            <w:pPr>
              <w:jc w:val="left"/>
              <w:rPr/>
            </w:pPr>
            <w:r w:rsidDel="00000000" w:rsidR="00000000" w:rsidRPr="00000000">
              <w:rPr>
                <w:rFonts w:ascii="Arial" w:cs="Arial" w:eastAsia="Arial" w:hAnsi="Arial"/>
                <w:color w:val="1b2a4a"/>
                <w:sz w:val="18"/>
                <w:szCs w:val="18"/>
                <w:rtl w:val="0"/>
              </w:rPr>
              <w:t xml:space="preserve">General (US+CAN)</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60.0" w:type="dxa"/>
              <w:left w:w="100.0" w:type="dxa"/>
              <w:bottom w:w="60.0" w:type="dxa"/>
              <w:right w:w="100.0" w:type="dxa"/>
            </w:tcMar>
          </w:tcPr>
          <w:p w:rsidR="00000000" w:rsidDel="00000000" w:rsidP="00000000" w:rsidRDefault="00000000" w:rsidRPr="00000000" w14:paraId="0000005B">
            <w:pPr>
              <w:jc w:val="center"/>
              <w:rPr/>
            </w:pPr>
            <w:r w:rsidDel="00000000" w:rsidR="00000000" w:rsidRPr="00000000">
              <w:rPr>
                <w:rFonts w:ascii="Arial" w:cs="Arial" w:eastAsia="Arial" w:hAnsi="Arial"/>
                <w:color w:val="1b2a4a"/>
                <w:sz w:val="18"/>
                <w:szCs w:val="18"/>
                <w:rtl w:val="0"/>
              </w:rPr>
              <w:t xml:space="preserve">2,479</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60.0" w:type="dxa"/>
              <w:left w:w="100.0" w:type="dxa"/>
              <w:bottom w:w="60.0" w:type="dxa"/>
              <w:right w:w="100.0" w:type="dxa"/>
            </w:tcMar>
          </w:tcPr>
          <w:p w:rsidR="00000000" w:rsidDel="00000000" w:rsidP="00000000" w:rsidRDefault="00000000" w:rsidRPr="00000000" w14:paraId="0000005C">
            <w:pPr>
              <w:jc w:val="center"/>
              <w:rPr/>
            </w:pPr>
            <w:r w:rsidDel="00000000" w:rsidR="00000000" w:rsidRPr="00000000">
              <w:rPr>
                <w:rFonts w:ascii="Arial" w:cs="Arial" w:eastAsia="Arial" w:hAnsi="Arial"/>
                <w:color w:val="1b2a4a"/>
                <w:sz w:val="18"/>
                <w:szCs w:val="18"/>
                <w:rtl w:val="0"/>
              </w:rPr>
              <w:t xml:space="preserv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60.0" w:type="dxa"/>
              <w:left w:w="100.0" w:type="dxa"/>
              <w:bottom w:w="60.0" w:type="dxa"/>
              <w:right w:w="100.0" w:type="dxa"/>
            </w:tcMar>
          </w:tcPr>
          <w:p w:rsidR="00000000" w:rsidDel="00000000" w:rsidP="00000000" w:rsidRDefault="00000000" w:rsidRPr="00000000" w14:paraId="0000005D">
            <w:pPr>
              <w:jc w:val="center"/>
              <w:rPr/>
            </w:pPr>
            <w:r w:rsidDel="00000000" w:rsidR="00000000" w:rsidRPr="00000000">
              <w:rPr>
                <w:rFonts w:ascii="Arial" w:cs="Arial" w:eastAsia="Arial" w:hAnsi="Arial"/>
                <w:color w:val="1b2a4a"/>
                <w:sz w:val="18"/>
                <w:szCs w:val="18"/>
                <w:rtl w:val="0"/>
              </w:rPr>
              <w:t xml:space="preserv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60.0" w:type="dxa"/>
              <w:left w:w="100.0" w:type="dxa"/>
              <w:bottom w:w="60.0" w:type="dxa"/>
              <w:right w:w="100.0" w:type="dxa"/>
            </w:tcMar>
          </w:tcPr>
          <w:p w:rsidR="00000000" w:rsidDel="00000000" w:rsidP="00000000" w:rsidRDefault="00000000" w:rsidRPr="00000000" w14:paraId="0000005E">
            <w:pPr>
              <w:jc w:val="center"/>
              <w:rPr/>
            </w:pPr>
            <w:r w:rsidDel="00000000" w:rsidR="00000000" w:rsidRPr="00000000">
              <w:rPr>
                <w:rFonts w:ascii="Arial" w:cs="Arial" w:eastAsia="Arial" w:hAnsi="Arial"/>
                <w:color w:val="1b2a4a"/>
                <w:sz w:val="18"/>
                <w:szCs w:val="18"/>
                <w:rtl w:val="0"/>
              </w:rPr>
              <w:t xml:space="preserve">†</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f0f6fa" w:val="clear"/>
            <w:tcMar>
              <w:top w:w="60.0" w:type="dxa"/>
              <w:left w:w="100.0" w:type="dxa"/>
              <w:bottom w:w="60.0" w:type="dxa"/>
              <w:right w:w="100.0" w:type="dxa"/>
            </w:tcMar>
          </w:tcPr>
          <w:p w:rsidR="00000000" w:rsidDel="00000000" w:rsidP="00000000" w:rsidRDefault="00000000" w:rsidRPr="00000000" w14:paraId="0000005F">
            <w:pPr>
              <w:jc w:val="left"/>
              <w:rPr/>
            </w:pPr>
            <w:r w:rsidDel="00000000" w:rsidR="00000000" w:rsidRPr="00000000">
              <w:rPr>
                <w:rFonts w:ascii="Arial" w:cs="Arial" w:eastAsia="Arial" w:hAnsi="Arial"/>
                <w:color w:val="1b2a4a"/>
                <w:sz w:val="18"/>
                <w:szCs w:val="18"/>
                <w:rtl w:val="0"/>
              </w:rPr>
              <w:t xml:space="preserve">Veterans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100.0" w:type="dxa"/>
              <w:bottom w:w="60.0" w:type="dxa"/>
              <w:right w:w="100.0" w:type="dxa"/>
            </w:tcMar>
          </w:tcPr>
          <w:p w:rsidR="00000000" w:rsidDel="00000000" w:rsidP="00000000" w:rsidRDefault="00000000" w:rsidRPr="00000000" w14:paraId="00000060">
            <w:pPr>
              <w:jc w:val="center"/>
              <w:rPr/>
            </w:pPr>
            <w:r w:rsidDel="00000000" w:rsidR="00000000" w:rsidRPr="00000000">
              <w:rPr>
                <w:rFonts w:ascii="Arial" w:cs="Arial" w:eastAsia="Arial" w:hAnsi="Arial"/>
                <w:color w:val="1b2a4a"/>
                <w:sz w:val="18"/>
                <w:szCs w:val="18"/>
                <w:rtl w:val="0"/>
              </w:rPr>
              <w:t xml:space="preserve">2,896</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100.0" w:type="dxa"/>
              <w:bottom w:w="60.0" w:type="dxa"/>
              <w:right w:w="100.0" w:type="dxa"/>
            </w:tcMar>
          </w:tcPr>
          <w:p w:rsidR="00000000" w:rsidDel="00000000" w:rsidP="00000000" w:rsidRDefault="00000000" w:rsidRPr="00000000" w14:paraId="00000061">
            <w:pPr>
              <w:jc w:val="center"/>
              <w:rPr/>
            </w:pPr>
            <w:r w:rsidDel="00000000" w:rsidR="00000000" w:rsidRPr="00000000">
              <w:rPr>
                <w:rFonts w:ascii="Arial" w:cs="Arial" w:eastAsia="Arial" w:hAnsi="Arial"/>
                <w:color w:val="1b2a4a"/>
                <w:sz w:val="18"/>
                <w:szCs w:val="18"/>
                <w:rtl w:val="0"/>
              </w:rPr>
              <w:t xml:space="preserve">$1,036*</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100.0" w:type="dxa"/>
              <w:bottom w:w="60.0" w:type="dxa"/>
              <w:right w:w="100.0" w:type="dxa"/>
            </w:tcMar>
          </w:tcPr>
          <w:p w:rsidR="00000000" w:rsidDel="00000000" w:rsidP="00000000" w:rsidRDefault="00000000" w:rsidRPr="00000000" w14:paraId="00000062">
            <w:pPr>
              <w:jc w:val="center"/>
              <w:rPr/>
            </w:pPr>
            <w:r w:rsidDel="00000000" w:rsidR="00000000" w:rsidRPr="00000000">
              <w:rPr>
                <w:rFonts w:ascii="Arial" w:cs="Arial" w:eastAsia="Arial" w:hAnsi="Arial"/>
                <w:color w:val="1b2a4a"/>
                <w:sz w:val="18"/>
                <w:szCs w:val="18"/>
                <w:rtl w:val="0"/>
              </w:rPr>
              <w:t xml:space="preserve">$1.75*</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100.0" w:type="dxa"/>
              <w:bottom w:w="60.0" w:type="dxa"/>
              <w:right w:w="100.0" w:type="dxa"/>
            </w:tcMar>
          </w:tcPr>
          <w:p w:rsidR="00000000" w:rsidDel="00000000" w:rsidP="00000000" w:rsidRDefault="00000000" w:rsidRPr="00000000" w14:paraId="00000063">
            <w:pPr>
              <w:jc w:val="center"/>
              <w:rPr/>
            </w:pPr>
            <w:r w:rsidDel="00000000" w:rsidR="00000000" w:rsidRPr="00000000">
              <w:rPr>
                <w:rFonts w:ascii="Arial" w:cs="Arial" w:eastAsia="Arial" w:hAnsi="Arial"/>
                <w:color w:val="1b2a4a"/>
                <w:sz w:val="18"/>
                <w:szCs w:val="18"/>
                <w:rtl w:val="0"/>
              </w:rPr>
              <w:t xml:space="preserve">57.9%*</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ffffff" w:val="clear"/>
            <w:tcMar>
              <w:top w:w="60.0" w:type="dxa"/>
              <w:left w:w="100.0" w:type="dxa"/>
              <w:bottom w:w="60.0" w:type="dxa"/>
              <w:right w:w="100.0" w:type="dxa"/>
            </w:tcMar>
          </w:tcPr>
          <w:p w:rsidR="00000000" w:rsidDel="00000000" w:rsidP="00000000" w:rsidRDefault="00000000" w:rsidRPr="00000000" w14:paraId="00000064">
            <w:pPr>
              <w:jc w:val="left"/>
              <w:rPr/>
            </w:pPr>
            <w:r w:rsidDel="00000000" w:rsidR="00000000" w:rsidRPr="00000000">
              <w:rPr>
                <w:rFonts w:ascii="Arial" w:cs="Arial" w:eastAsia="Arial" w:hAnsi="Arial"/>
                <w:color w:val="1b2a4a"/>
                <w:sz w:val="18"/>
                <w:szCs w:val="18"/>
                <w:rtl w:val="0"/>
              </w:rPr>
              <w:t xml:space="preserve">Food Truck / Cleaning</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60.0" w:type="dxa"/>
              <w:left w:w="100.0" w:type="dxa"/>
              <w:bottom w:w="60.0" w:type="dxa"/>
              <w:right w:w="100.0" w:type="dxa"/>
            </w:tcMar>
          </w:tcPr>
          <w:p w:rsidR="00000000" w:rsidDel="00000000" w:rsidP="00000000" w:rsidRDefault="00000000" w:rsidRPr="00000000" w14:paraId="00000065">
            <w:pPr>
              <w:jc w:val="center"/>
              <w:rPr/>
            </w:pPr>
            <w:r w:rsidDel="00000000" w:rsidR="00000000" w:rsidRPr="00000000">
              <w:rPr>
                <w:rFonts w:ascii="Arial" w:cs="Arial" w:eastAsia="Arial" w:hAnsi="Arial"/>
                <w:color w:val="1b2a4a"/>
                <w:sz w:val="18"/>
                <w:szCs w:val="18"/>
                <w:rtl w:val="0"/>
              </w:rPr>
              <w:t xml:space="preserve">2,532</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60.0" w:type="dxa"/>
              <w:left w:w="100.0" w:type="dxa"/>
              <w:bottom w:w="60.0" w:type="dxa"/>
              <w:right w:w="100.0" w:type="dxa"/>
            </w:tcMar>
          </w:tcPr>
          <w:p w:rsidR="00000000" w:rsidDel="00000000" w:rsidP="00000000" w:rsidRDefault="00000000" w:rsidRPr="00000000" w14:paraId="00000066">
            <w:pPr>
              <w:jc w:val="center"/>
              <w:rPr/>
            </w:pPr>
            <w:r w:rsidDel="00000000" w:rsidR="00000000" w:rsidRPr="00000000">
              <w:rPr>
                <w:rFonts w:ascii="Arial" w:cs="Arial" w:eastAsia="Arial" w:hAnsi="Arial"/>
                <w:color w:val="1b2a4a"/>
                <w:sz w:val="18"/>
                <w:szCs w:val="18"/>
                <w:rtl w:val="0"/>
              </w:rPr>
              <w:t xml:space="preserv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60.0" w:type="dxa"/>
              <w:left w:w="100.0" w:type="dxa"/>
              <w:bottom w:w="60.0" w:type="dxa"/>
              <w:right w:w="100.0" w:type="dxa"/>
            </w:tcMar>
          </w:tcPr>
          <w:p w:rsidR="00000000" w:rsidDel="00000000" w:rsidP="00000000" w:rsidRDefault="00000000" w:rsidRPr="00000000" w14:paraId="00000067">
            <w:pPr>
              <w:jc w:val="center"/>
              <w:rPr/>
            </w:pPr>
            <w:r w:rsidDel="00000000" w:rsidR="00000000" w:rsidRPr="00000000">
              <w:rPr>
                <w:rFonts w:ascii="Arial" w:cs="Arial" w:eastAsia="Arial" w:hAnsi="Arial"/>
                <w:color w:val="1b2a4a"/>
                <w:sz w:val="18"/>
                <w:szCs w:val="18"/>
                <w:rtl w:val="0"/>
              </w:rPr>
              <w:t xml:space="preserv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60.0" w:type="dxa"/>
              <w:left w:w="100.0" w:type="dxa"/>
              <w:bottom w:w="60.0" w:type="dxa"/>
              <w:right w:w="100.0" w:type="dxa"/>
            </w:tcMar>
          </w:tcPr>
          <w:p w:rsidR="00000000" w:rsidDel="00000000" w:rsidP="00000000" w:rsidRDefault="00000000" w:rsidRPr="00000000" w14:paraId="00000068">
            <w:pPr>
              <w:jc w:val="center"/>
              <w:rPr/>
            </w:pPr>
            <w:r w:rsidDel="00000000" w:rsidR="00000000" w:rsidRPr="00000000">
              <w:rPr>
                <w:rFonts w:ascii="Arial" w:cs="Arial" w:eastAsia="Arial" w:hAnsi="Arial"/>
                <w:color w:val="1b2a4a"/>
                <w:sz w:val="18"/>
                <w:szCs w:val="18"/>
                <w:rtl w:val="0"/>
              </w:rPr>
              <w:t xml:space="preserve">†</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f0f6fa" w:val="clear"/>
            <w:tcMar>
              <w:top w:w="60.0" w:type="dxa"/>
              <w:left w:w="100.0" w:type="dxa"/>
              <w:bottom w:w="60.0" w:type="dxa"/>
              <w:right w:w="100.0" w:type="dxa"/>
            </w:tcMar>
          </w:tcPr>
          <w:p w:rsidR="00000000" w:rsidDel="00000000" w:rsidP="00000000" w:rsidRDefault="00000000" w:rsidRPr="00000000" w14:paraId="00000069">
            <w:pPr>
              <w:jc w:val="left"/>
              <w:rPr/>
            </w:pPr>
            <w:r w:rsidDel="00000000" w:rsidR="00000000" w:rsidRPr="00000000">
              <w:rPr>
                <w:rFonts w:ascii="Arial" w:cs="Arial" w:eastAsia="Arial" w:hAnsi="Arial"/>
                <w:color w:val="1b2a4a"/>
                <w:sz w:val="18"/>
                <w:szCs w:val="18"/>
                <w:rtl w:val="0"/>
              </w:rPr>
              <w:t xml:space="preserve">Roofers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100.0" w:type="dxa"/>
              <w:bottom w:w="60.0" w:type="dxa"/>
              <w:right w:w="100.0" w:type="dxa"/>
            </w:tcMar>
          </w:tcPr>
          <w:p w:rsidR="00000000" w:rsidDel="00000000" w:rsidP="00000000" w:rsidRDefault="00000000" w:rsidRPr="00000000" w14:paraId="0000006A">
            <w:pPr>
              <w:jc w:val="center"/>
              <w:rPr/>
            </w:pPr>
            <w:r w:rsidDel="00000000" w:rsidR="00000000" w:rsidRPr="00000000">
              <w:rPr>
                <w:rFonts w:ascii="Arial" w:cs="Arial" w:eastAsia="Arial" w:hAnsi="Arial"/>
                <w:color w:val="1b2a4a"/>
                <w:sz w:val="18"/>
                <w:szCs w:val="18"/>
                <w:rtl w:val="0"/>
              </w:rPr>
              <w:t xml:space="preserve">2,443</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100.0" w:type="dxa"/>
              <w:bottom w:w="60.0" w:type="dxa"/>
              <w:right w:w="100.0" w:type="dxa"/>
            </w:tcMar>
          </w:tcPr>
          <w:p w:rsidR="00000000" w:rsidDel="00000000" w:rsidP="00000000" w:rsidRDefault="00000000" w:rsidRPr="00000000" w14:paraId="0000006B">
            <w:pPr>
              <w:jc w:val="center"/>
              <w:rPr/>
            </w:pPr>
            <w:r w:rsidDel="00000000" w:rsidR="00000000" w:rsidRPr="00000000">
              <w:rPr>
                <w:rFonts w:ascii="Arial" w:cs="Arial" w:eastAsia="Arial" w:hAnsi="Arial"/>
                <w:color w:val="1b2a4a"/>
                <w:sz w:val="18"/>
                <w:szCs w:val="18"/>
                <w:rtl w:val="0"/>
              </w:rPr>
              <w:t xml:space="preserv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100.0" w:type="dxa"/>
              <w:bottom w:w="60.0" w:type="dxa"/>
              <w:right w:w="100.0" w:type="dxa"/>
            </w:tcMar>
          </w:tcPr>
          <w:p w:rsidR="00000000" w:rsidDel="00000000" w:rsidP="00000000" w:rsidRDefault="00000000" w:rsidRPr="00000000" w14:paraId="0000006C">
            <w:pPr>
              <w:jc w:val="center"/>
              <w:rPr/>
            </w:pPr>
            <w:r w:rsidDel="00000000" w:rsidR="00000000" w:rsidRPr="00000000">
              <w:rPr>
                <w:rFonts w:ascii="Arial" w:cs="Arial" w:eastAsia="Arial" w:hAnsi="Arial"/>
                <w:color w:val="1b2a4a"/>
                <w:sz w:val="18"/>
                <w:szCs w:val="18"/>
                <w:rtl w:val="0"/>
              </w:rPr>
              <w:t xml:space="preserv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100.0" w:type="dxa"/>
              <w:bottom w:w="60.0" w:type="dxa"/>
              <w:right w:w="100.0" w:type="dxa"/>
            </w:tcMar>
          </w:tcPr>
          <w:p w:rsidR="00000000" w:rsidDel="00000000" w:rsidP="00000000" w:rsidRDefault="00000000" w:rsidRPr="00000000" w14:paraId="0000006D">
            <w:pPr>
              <w:jc w:val="center"/>
              <w:rPr/>
            </w:pPr>
            <w:r w:rsidDel="00000000" w:rsidR="00000000" w:rsidRPr="00000000">
              <w:rPr>
                <w:rFonts w:ascii="Arial" w:cs="Arial" w:eastAsia="Arial" w:hAnsi="Arial"/>
                <w:color w:val="1b2a4a"/>
                <w:sz w:val="18"/>
                <w:szCs w:val="18"/>
                <w:rtl w:val="0"/>
              </w:rPr>
              <w:t xml:space="preserve">†</w:t>
            </w:r>
            <w:r w:rsidDel="00000000" w:rsidR="00000000" w:rsidRPr="00000000">
              <w:rPr>
                <w:rtl w:val="0"/>
              </w:rPr>
            </w:r>
          </w:p>
        </w:tc>
      </w:tr>
    </w:tbl>
    <w:p w:rsidR="00000000" w:rsidDel="00000000" w:rsidP="00000000" w:rsidRDefault="00000000" w:rsidRPr="00000000" w14:paraId="0000006E">
      <w:pPr>
        <w:spacing w:after="200" w:before="80" w:lineRule="auto"/>
        <w:rPr/>
      </w:pPr>
      <w:r w:rsidDel="00000000" w:rsidR="00000000" w:rsidRPr="00000000">
        <w:rPr>
          <w:rFonts w:ascii="Arial" w:cs="Arial" w:eastAsia="Arial" w:hAnsi="Arial"/>
          <w:i w:val="1"/>
          <w:iCs w:val="1"/>
          <w:color w:val="4a5568"/>
          <w:sz w:val="16"/>
          <w:szCs w:val="16"/>
          <w:rtl w:val="0"/>
        </w:rPr>
        <w:t xml:space="preserve">* Confirmed from Meta Ads Manager. † Spend data not available for these campaigns; overall totals calculated using blended CPL of $4.48 across all 12,765 leads.</w:t>
      </w:r>
      <w:r w:rsidDel="00000000" w:rsidR="00000000" w:rsidRPr="00000000">
        <w:rPr>
          <w:rtl w:val="0"/>
        </w:rPr>
      </w:r>
    </w:p>
    <w:p w:rsidR="00000000" w:rsidDel="00000000" w:rsidP="00000000" w:rsidRDefault="00000000" w:rsidRPr="00000000" w14:paraId="0000006F">
      <w:pPr>
        <w:pStyle w:val="Heading2"/>
        <w:rPr/>
      </w:pPr>
      <w:r w:rsidDel="00000000" w:rsidR="00000000" w:rsidRPr="00000000">
        <w:rPr>
          <w:rtl w:val="0"/>
        </w:rPr>
        <w:t xml:space="preserve">Spotlight: Veteran Business Owners Campaign</w:t>
      </w:r>
    </w:p>
    <w:p w:rsidR="00000000" w:rsidDel="00000000" w:rsidP="00000000" w:rsidRDefault="00000000" w:rsidRPr="00000000" w14:paraId="00000070">
      <w:pPr>
        <w:spacing w:after="200" w:lineRule="auto"/>
        <w:rPr/>
      </w:pPr>
      <w:r w:rsidDel="00000000" w:rsidR="00000000" w:rsidRPr="00000000">
        <w:rPr>
          <w:sz w:val="22"/>
          <w:szCs w:val="22"/>
          <w:rtl w:val="0"/>
        </w:rPr>
        <w:t xml:space="preserve">The veteran-focused campaign stands out as the engagement’s top performer. Running for just three weeks in October–November 2025, it generated 2,896 leads on a spend of only $1,035.78. At $1.75 per lead, it outperformed the general campaign by nearly 3x on cost efficiency while converting at 57.9%—meaning more than half of all clicks resulted in a completed lead form.</w:t>
      </w:r>
      <w:r w:rsidDel="00000000" w:rsidR="00000000" w:rsidRPr="00000000">
        <w:rPr>
          <w:rtl w:val="0"/>
        </w:rPr>
      </w:r>
    </w:p>
    <w:p w:rsidR="00000000" w:rsidDel="00000000" w:rsidP="00000000" w:rsidRDefault="00000000" w:rsidRPr="00000000" w14:paraId="00000071">
      <w:pPr>
        <w:spacing w:after="200" w:lineRule="auto"/>
        <w:rPr/>
      </w:pPr>
      <w:r w:rsidDel="00000000" w:rsidR="00000000" w:rsidRPr="00000000">
        <w:rPr>
          <w:sz w:val="22"/>
          <w:szCs w:val="22"/>
          <w:rtl w:val="0"/>
        </w:rPr>
        <w:t xml:space="preserve">The success was driven by deeply resonant creative that honored veterans’ service while addressing their real business funding challenges. Ad variant Vet-V2 was the breakout performer, generating 592 of the campaign’s 597 tracked leads.</w:t>
      </w:r>
      <w:r w:rsidDel="00000000" w:rsidR="00000000" w:rsidRPr="00000000">
        <w:rPr>
          <w:rtl w:val="0"/>
        </w:rPr>
      </w:r>
    </w:p>
    <w:p w:rsidR="00000000" w:rsidDel="00000000" w:rsidP="00000000" w:rsidRDefault="00000000" w:rsidRPr="00000000" w14:paraId="00000072">
      <w:pPr>
        <w:pStyle w:val="Heading3"/>
        <w:rPr/>
      </w:pPr>
      <w:r w:rsidDel="00000000" w:rsidR="00000000" w:rsidRPr="00000000">
        <w:rPr>
          <w:rtl w:val="0"/>
        </w:rPr>
        <w:t xml:space="preserve">Veteran Campaign Weekly Performance</w:t>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1350"/>
        <w:gridCol w:w="1350"/>
        <w:gridCol w:w="1350"/>
        <w:gridCol w:w="1350"/>
        <w:gridCol w:w="1360"/>
        <w:tblGridChange w:id="0">
          <w:tblGrid>
            <w:gridCol w:w="2600"/>
            <w:gridCol w:w="1350"/>
            <w:gridCol w:w="1350"/>
            <w:gridCol w:w="1350"/>
            <w:gridCol w:w="1350"/>
            <w:gridCol w:w="13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2e86ab" w:val="clear"/>
            <w:tcMar>
              <w:top w:w="60.0" w:type="dxa"/>
              <w:left w:w="80.0" w:type="dxa"/>
              <w:bottom w:w="60.0" w:type="dxa"/>
              <w:right w:w="80.0" w:type="dxa"/>
            </w:tcMar>
          </w:tcPr>
          <w:p w:rsidR="00000000" w:rsidDel="00000000" w:rsidP="00000000" w:rsidRDefault="00000000" w:rsidRPr="00000000" w14:paraId="00000073">
            <w:pPr>
              <w:jc w:val="center"/>
              <w:rPr/>
            </w:pPr>
            <w:r w:rsidDel="00000000" w:rsidR="00000000" w:rsidRPr="00000000">
              <w:rPr>
                <w:rFonts w:ascii="Arial" w:cs="Arial" w:eastAsia="Arial" w:hAnsi="Arial"/>
                <w:b w:val="1"/>
                <w:bCs w:val="1"/>
                <w:color w:val="ffffff"/>
                <w:sz w:val="16"/>
                <w:szCs w:val="16"/>
                <w:rtl w:val="0"/>
              </w:rPr>
              <w:t xml:space="preserve">Week</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86ab" w:val="clear"/>
            <w:tcMar>
              <w:top w:w="60.0" w:type="dxa"/>
              <w:left w:w="80.0" w:type="dxa"/>
              <w:bottom w:w="60.0" w:type="dxa"/>
              <w:right w:w="80.0" w:type="dxa"/>
            </w:tcMar>
          </w:tcPr>
          <w:p w:rsidR="00000000" w:rsidDel="00000000" w:rsidP="00000000" w:rsidRDefault="00000000" w:rsidRPr="00000000" w14:paraId="00000074">
            <w:pPr>
              <w:jc w:val="center"/>
              <w:rPr/>
            </w:pPr>
            <w:r w:rsidDel="00000000" w:rsidR="00000000" w:rsidRPr="00000000">
              <w:rPr>
                <w:rFonts w:ascii="Arial" w:cs="Arial" w:eastAsia="Arial" w:hAnsi="Arial"/>
                <w:b w:val="1"/>
                <w:bCs w:val="1"/>
                <w:color w:val="ffffff"/>
                <w:sz w:val="16"/>
                <w:szCs w:val="16"/>
                <w:rtl w:val="0"/>
              </w:rPr>
              <w:t xml:space="preserve">Impr.</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86ab" w:val="clear"/>
            <w:tcMar>
              <w:top w:w="60.0" w:type="dxa"/>
              <w:left w:w="80.0" w:type="dxa"/>
              <w:bottom w:w="60.0" w:type="dxa"/>
              <w:right w:w="80.0" w:type="dxa"/>
            </w:tcMar>
          </w:tcPr>
          <w:p w:rsidR="00000000" w:rsidDel="00000000" w:rsidP="00000000" w:rsidRDefault="00000000" w:rsidRPr="00000000" w14:paraId="00000075">
            <w:pPr>
              <w:jc w:val="center"/>
              <w:rPr/>
            </w:pPr>
            <w:r w:rsidDel="00000000" w:rsidR="00000000" w:rsidRPr="00000000">
              <w:rPr>
                <w:rFonts w:ascii="Arial" w:cs="Arial" w:eastAsia="Arial" w:hAnsi="Arial"/>
                <w:b w:val="1"/>
                <w:bCs w:val="1"/>
                <w:color w:val="ffffff"/>
                <w:sz w:val="16"/>
                <w:szCs w:val="16"/>
                <w:rtl w:val="0"/>
              </w:rPr>
              <w:t xml:space="preserve">Spend</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86ab" w:val="clear"/>
            <w:tcMar>
              <w:top w:w="60.0" w:type="dxa"/>
              <w:left w:w="80.0" w:type="dxa"/>
              <w:bottom w:w="60.0" w:type="dxa"/>
              <w:right w:w="80.0" w:type="dxa"/>
            </w:tcMar>
          </w:tcPr>
          <w:p w:rsidR="00000000" w:rsidDel="00000000" w:rsidP="00000000" w:rsidRDefault="00000000" w:rsidRPr="00000000" w14:paraId="00000076">
            <w:pPr>
              <w:jc w:val="center"/>
              <w:rPr/>
            </w:pPr>
            <w:r w:rsidDel="00000000" w:rsidR="00000000" w:rsidRPr="00000000">
              <w:rPr>
                <w:rFonts w:ascii="Arial" w:cs="Arial" w:eastAsia="Arial" w:hAnsi="Arial"/>
                <w:b w:val="1"/>
                <w:bCs w:val="1"/>
                <w:color w:val="ffffff"/>
                <w:sz w:val="16"/>
                <w:szCs w:val="16"/>
                <w:rtl w:val="0"/>
              </w:rPr>
              <w:t xml:space="preserve">Clicks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86ab" w:val="clear"/>
            <w:tcMar>
              <w:top w:w="60.0" w:type="dxa"/>
              <w:left w:w="80.0" w:type="dxa"/>
              <w:bottom w:w="60.0" w:type="dxa"/>
              <w:right w:w="80.0" w:type="dxa"/>
            </w:tcMar>
          </w:tcPr>
          <w:p w:rsidR="00000000" w:rsidDel="00000000" w:rsidP="00000000" w:rsidRDefault="00000000" w:rsidRPr="00000000" w14:paraId="00000077">
            <w:pPr>
              <w:jc w:val="center"/>
              <w:rPr/>
            </w:pPr>
            <w:r w:rsidDel="00000000" w:rsidR="00000000" w:rsidRPr="00000000">
              <w:rPr>
                <w:rFonts w:ascii="Arial" w:cs="Arial" w:eastAsia="Arial" w:hAnsi="Arial"/>
                <w:b w:val="1"/>
                <w:bCs w:val="1"/>
                <w:color w:val="ffffff"/>
                <w:sz w:val="16"/>
                <w:szCs w:val="16"/>
                <w:rtl w:val="0"/>
              </w:rPr>
              <w:t xml:space="preserve">Leads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2e86ab" w:val="clear"/>
            <w:tcMar>
              <w:top w:w="60.0" w:type="dxa"/>
              <w:left w:w="80.0" w:type="dxa"/>
              <w:bottom w:w="60.0" w:type="dxa"/>
              <w:right w:w="80.0" w:type="dxa"/>
            </w:tcMar>
          </w:tcPr>
          <w:p w:rsidR="00000000" w:rsidDel="00000000" w:rsidP="00000000" w:rsidRDefault="00000000" w:rsidRPr="00000000" w14:paraId="00000078">
            <w:pPr>
              <w:jc w:val="center"/>
              <w:rPr/>
            </w:pPr>
            <w:r w:rsidDel="00000000" w:rsidR="00000000" w:rsidRPr="00000000">
              <w:rPr>
                <w:rFonts w:ascii="Arial" w:cs="Arial" w:eastAsia="Arial" w:hAnsi="Arial"/>
                <w:b w:val="1"/>
                <w:bCs w:val="1"/>
                <w:color w:val="ffffff"/>
                <w:sz w:val="16"/>
                <w:szCs w:val="16"/>
                <w:rtl w:val="0"/>
              </w:rPr>
              <w:t xml:space="preserve">CPL</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f0f6fa" w:val="clear"/>
            <w:tcMar>
              <w:top w:w="60.0" w:type="dxa"/>
              <w:left w:w="80.0" w:type="dxa"/>
              <w:bottom w:w="60.0" w:type="dxa"/>
              <w:right w:w="80.0" w:type="dxa"/>
            </w:tcMar>
          </w:tcPr>
          <w:p w:rsidR="00000000" w:rsidDel="00000000" w:rsidP="00000000" w:rsidRDefault="00000000" w:rsidRPr="00000000" w14:paraId="00000079">
            <w:pPr>
              <w:jc w:val="center"/>
              <w:rPr/>
            </w:pPr>
            <w:r w:rsidDel="00000000" w:rsidR="00000000" w:rsidRPr="00000000">
              <w:rPr>
                <w:rFonts w:ascii="Arial" w:cs="Arial" w:eastAsia="Arial" w:hAnsi="Arial"/>
                <w:color w:val="1b2a4a"/>
                <w:sz w:val="16"/>
                <w:szCs w:val="16"/>
                <w:rtl w:val="0"/>
              </w:rPr>
              <w:t xml:space="preserve">Oct 13–19</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80.0" w:type="dxa"/>
              <w:bottom w:w="60.0" w:type="dxa"/>
              <w:right w:w="80.0" w:type="dxa"/>
            </w:tcMar>
          </w:tcPr>
          <w:p w:rsidR="00000000" w:rsidDel="00000000" w:rsidP="00000000" w:rsidRDefault="00000000" w:rsidRPr="00000000" w14:paraId="0000007A">
            <w:pPr>
              <w:jc w:val="center"/>
              <w:rPr/>
            </w:pPr>
            <w:r w:rsidDel="00000000" w:rsidR="00000000" w:rsidRPr="00000000">
              <w:rPr>
                <w:rFonts w:ascii="Arial" w:cs="Arial" w:eastAsia="Arial" w:hAnsi="Arial"/>
                <w:color w:val="1b2a4a"/>
                <w:sz w:val="16"/>
                <w:szCs w:val="16"/>
                <w:rtl w:val="0"/>
              </w:rPr>
              <w:t xml:space="preserve">8,518</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80.0" w:type="dxa"/>
              <w:bottom w:w="60.0" w:type="dxa"/>
              <w:right w:w="80.0" w:type="dxa"/>
            </w:tcMar>
          </w:tcPr>
          <w:p w:rsidR="00000000" w:rsidDel="00000000" w:rsidP="00000000" w:rsidRDefault="00000000" w:rsidRPr="00000000" w14:paraId="0000007B">
            <w:pPr>
              <w:jc w:val="center"/>
              <w:rPr/>
            </w:pPr>
            <w:r w:rsidDel="00000000" w:rsidR="00000000" w:rsidRPr="00000000">
              <w:rPr>
                <w:rFonts w:ascii="Arial" w:cs="Arial" w:eastAsia="Arial" w:hAnsi="Arial"/>
                <w:color w:val="1b2a4a"/>
                <w:sz w:val="16"/>
                <w:szCs w:val="16"/>
                <w:rtl w:val="0"/>
              </w:rPr>
              <w:t xml:space="preserve">$329</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80.0" w:type="dxa"/>
              <w:bottom w:w="60.0" w:type="dxa"/>
              <w:right w:w="80.0" w:type="dxa"/>
            </w:tcMar>
          </w:tcPr>
          <w:p w:rsidR="00000000" w:rsidDel="00000000" w:rsidP="00000000" w:rsidRDefault="00000000" w:rsidRPr="00000000" w14:paraId="0000007C">
            <w:pPr>
              <w:jc w:val="center"/>
              <w:rPr/>
            </w:pPr>
            <w:r w:rsidDel="00000000" w:rsidR="00000000" w:rsidRPr="00000000">
              <w:rPr>
                <w:rFonts w:ascii="Arial" w:cs="Arial" w:eastAsia="Arial" w:hAnsi="Arial"/>
                <w:color w:val="1b2a4a"/>
                <w:sz w:val="16"/>
                <w:szCs w:val="16"/>
                <w:rtl w:val="0"/>
              </w:rPr>
              <w:t xml:space="preserve">234</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80.0" w:type="dxa"/>
              <w:bottom w:w="60.0" w:type="dxa"/>
              <w:right w:w="80.0" w:type="dxa"/>
            </w:tcMar>
          </w:tcPr>
          <w:p w:rsidR="00000000" w:rsidDel="00000000" w:rsidP="00000000" w:rsidRDefault="00000000" w:rsidRPr="00000000" w14:paraId="0000007D">
            <w:pPr>
              <w:jc w:val="center"/>
              <w:rPr/>
            </w:pPr>
            <w:r w:rsidDel="00000000" w:rsidR="00000000" w:rsidRPr="00000000">
              <w:rPr>
                <w:rFonts w:ascii="Arial" w:cs="Arial" w:eastAsia="Arial" w:hAnsi="Arial"/>
                <w:color w:val="1b2a4a"/>
                <w:sz w:val="16"/>
                <w:szCs w:val="16"/>
                <w:rtl w:val="0"/>
              </w:rPr>
              <w:t xml:space="preserve">137</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80.0" w:type="dxa"/>
              <w:bottom w:w="60.0" w:type="dxa"/>
              <w:right w:w="80.0" w:type="dxa"/>
            </w:tcMar>
          </w:tcPr>
          <w:p w:rsidR="00000000" w:rsidDel="00000000" w:rsidP="00000000" w:rsidRDefault="00000000" w:rsidRPr="00000000" w14:paraId="0000007E">
            <w:pPr>
              <w:jc w:val="center"/>
              <w:rPr/>
            </w:pPr>
            <w:r w:rsidDel="00000000" w:rsidR="00000000" w:rsidRPr="00000000">
              <w:rPr>
                <w:rFonts w:ascii="Arial" w:cs="Arial" w:eastAsia="Arial" w:hAnsi="Arial"/>
                <w:color w:val="1b2a4a"/>
                <w:sz w:val="16"/>
                <w:szCs w:val="16"/>
                <w:rtl w:val="0"/>
              </w:rPr>
              <w:t xml:space="preserve">$2.40</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ffffff" w:val="clear"/>
            <w:tcMar>
              <w:top w:w="60.0" w:type="dxa"/>
              <w:left w:w="80.0" w:type="dxa"/>
              <w:bottom w:w="60.0" w:type="dxa"/>
              <w:right w:w="80.0" w:type="dxa"/>
            </w:tcMar>
          </w:tcPr>
          <w:p w:rsidR="00000000" w:rsidDel="00000000" w:rsidP="00000000" w:rsidRDefault="00000000" w:rsidRPr="00000000" w14:paraId="0000007F">
            <w:pPr>
              <w:jc w:val="center"/>
              <w:rPr/>
            </w:pPr>
            <w:r w:rsidDel="00000000" w:rsidR="00000000" w:rsidRPr="00000000">
              <w:rPr>
                <w:rFonts w:ascii="Arial" w:cs="Arial" w:eastAsia="Arial" w:hAnsi="Arial"/>
                <w:color w:val="1b2a4a"/>
                <w:sz w:val="16"/>
                <w:szCs w:val="16"/>
                <w:rtl w:val="0"/>
              </w:rPr>
              <w:t xml:space="preserve">Oct 20–26</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60.0" w:type="dxa"/>
              <w:left w:w="80.0" w:type="dxa"/>
              <w:bottom w:w="60.0" w:type="dxa"/>
              <w:right w:w="80.0" w:type="dxa"/>
            </w:tcMar>
          </w:tcPr>
          <w:p w:rsidR="00000000" w:rsidDel="00000000" w:rsidP="00000000" w:rsidRDefault="00000000" w:rsidRPr="00000000" w14:paraId="00000080">
            <w:pPr>
              <w:jc w:val="center"/>
              <w:rPr/>
            </w:pPr>
            <w:r w:rsidDel="00000000" w:rsidR="00000000" w:rsidRPr="00000000">
              <w:rPr>
                <w:rFonts w:ascii="Arial" w:cs="Arial" w:eastAsia="Arial" w:hAnsi="Arial"/>
                <w:color w:val="1b2a4a"/>
                <w:sz w:val="16"/>
                <w:szCs w:val="16"/>
                <w:rtl w:val="0"/>
              </w:rPr>
              <w:t xml:space="preserve">14,860</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60.0" w:type="dxa"/>
              <w:left w:w="80.0" w:type="dxa"/>
              <w:bottom w:w="60.0" w:type="dxa"/>
              <w:right w:w="80.0" w:type="dxa"/>
            </w:tcMar>
          </w:tcPr>
          <w:p w:rsidR="00000000" w:rsidDel="00000000" w:rsidP="00000000" w:rsidRDefault="00000000" w:rsidRPr="00000000" w14:paraId="00000081">
            <w:pPr>
              <w:jc w:val="center"/>
              <w:rPr/>
            </w:pPr>
            <w:r w:rsidDel="00000000" w:rsidR="00000000" w:rsidRPr="00000000">
              <w:rPr>
                <w:rFonts w:ascii="Arial" w:cs="Arial" w:eastAsia="Arial" w:hAnsi="Arial"/>
                <w:color w:val="1b2a4a"/>
                <w:sz w:val="16"/>
                <w:szCs w:val="16"/>
                <w:rtl w:val="0"/>
              </w:rPr>
              <w:t xml:space="preserve">$351</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60.0" w:type="dxa"/>
              <w:left w:w="80.0" w:type="dxa"/>
              <w:bottom w:w="60.0" w:type="dxa"/>
              <w:right w:w="80.0" w:type="dxa"/>
            </w:tcMar>
          </w:tcPr>
          <w:p w:rsidR="00000000" w:rsidDel="00000000" w:rsidP="00000000" w:rsidRDefault="00000000" w:rsidRPr="00000000" w14:paraId="00000082">
            <w:pPr>
              <w:jc w:val="center"/>
              <w:rPr/>
            </w:pPr>
            <w:r w:rsidDel="00000000" w:rsidR="00000000" w:rsidRPr="00000000">
              <w:rPr>
                <w:rFonts w:ascii="Arial" w:cs="Arial" w:eastAsia="Arial" w:hAnsi="Arial"/>
                <w:color w:val="1b2a4a"/>
                <w:sz w:val="16"/>
                <w:szCs w:val="16"/>
                <w:rtl w:val="0"/>
              </w:rPr>
              <w:t xml:space="preserve">428</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60.0" w:type="dxa"/>
              <w:left w:w="80.0" w:type="dxa"/>
              <w:bottom w:w="60.0" w:type="dxa"/>
              <w:right w:w="80.0" w:type="dxa"/>
            </w:tcMar>
          </w:tcPr>
          <w:p w:rsidR="00000000" w:rsidDel="00000000" w:rsidP="00000000" w:rsidRDefault="00000000" w:rsidRPr="00000000" w14:paraId="00000083">
            <w:pPr>
              <w:jc w:val="center"/>
              <w:rPr/>
            </w:pPr>
            <w:r w:rsidDel="00000000" w:rsidR="00000000" w:rsidRPr="00000000">
              <w:rPr>
                <w:rFonts w:ascii="Arial" w:cs="Arial" w:eastAsia="Arial" w:hAnsi="Arial"/>
                <w:color w:val="1b2a4a"/>
                <w:sz w:val="16"/>
                <w:szCs w:val="16"/>
                <w:rtl w:val="0"/>
              </w:rPr>
              <w:t xml:space="preserve">241</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60.0" w:type="dxa"/>
              <w:left w:w="80.0" w:type="dxa"/>
              <w:bottom w:w="60.0" w:type="dxa"/>
              <w:right w:w="80.0" w:type="dxa"/>
            </w:tcMar>
          </w:tcPr>
          <w:p w:rsidR="00000000" w:rsidDel="00000000" w:rsidP="00000000" w:rsidRDefault="00000000" w:rsidRPr="00000000" w14:paraId="00000084">
            <w:pPr>
              <w:jc w:val="center"/>
              <w:rPr/>
            </w:pPr>
            <w:r w:rsidDel="00000000" w:rsidR="00000000" w:rsidRPr="00000000">
              <w:rPr>
                <w:rFonts w:ascii="Arial" w:cs="Arial" w:eastAsia="Arial" w:hAnsi="Arial"/>
                <w:color w:val="1b2a4a"/>
                <w:sz w:val="16"/>
                <w:szCs w:val="16"/>
                <w:rtl w:val="0"/>
              </w:rPr>
              <w:t xml:space="preserve">$1.46</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f0f6fa" w:val="clear"/>
            <w:tcMar>
              <w:top w:w="60.0" w:type="dxa"/>
              <w:left w:w="80.0" w:type="dxa"/>
              <w:bottom w:w="60.0" w:type="dxa"/>
              <w:right w:w="80.0" w:type="dxa"/>
            </w:tcMar>
          </w:tcPr>
          <w:p w:rsidR="00000000" w:rsidDel="00000000" w:rsidP="00000000" w:rsidRDefault="00000000" w:rsidRPr="00000000" w14:paraId="00000085">
            <w:pPr>
              <w:jc w:val="center"/>
              <w:rPr/>
            </w:pPr>
            <w:r w:rsidDel="00000000" w:rsidR="00000000" w:rsidRPr="00000000">
              <w:rPr>
                <w:rFonts w:ascii="Arial" w:cs="Arial" w:eastAsia="Arial" w:hAnsi="Arial"/>
                <w:color w:val="1b2a4a"/>
                <w:sz w:val="16"/>
                <w:szCs w:val="16"/>
                <w:rtl w:val="0"/>
              </w:rPr>
              <w:t xml:space="preserve">Oct 27–Nov 2</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80.0" w:type="dxa"/>
              <w:bottom w:w="60.0" w:type="dxa"/>
              <w:right w:w="80.0" w:type="dxa"/>
            </w:tcMar>
          </w:tcPr>
          <w:p w:rsidR="00000000" w:rsidDel="00000000" w:rsidP="00000000" w:rsidRDefault="00000000" w:rsidRPr="00000000" w14:paraId="00000086">
            <w:pPr>
              <w:jc w:val="center"/>
              <w:rPr/>
            </w:pPr>
            <w:r w:rsidDel="00000000" w:rsidR="00000000" w:rsidRPr="00000000">
              <w:rPr>
                <w:rFonts w:ascii="Arial" w:cs="Arial" w:eastAsia="Arial" w:hAnsi="Arial"/>
                <w:color w:val="1b2a4a"/>
                <w:sz w:val="16"/>
                <w:szCs w:val="16"/>
                <w:rtl w:val="0"/>
              </w:rPr>
              <w:t xml:space="preserve">13,638</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80.0" w:type="dxa"/>
              <w:bottom w:w="60.0" w:type="dxa"/>
              <w:right w:w="80.0" w:type="dxa"/>
            </w:tcMar>
          </w:tcPr>
          <w:p w:rsidR="00000000" w:rsidDel="00000000" w:rsidP="00000000" w:rsidRDefault="00000000" w:rsidRPr="00000000" w14:paraId="00000087">
            <w:pPr>
              <w:jc w:val="center"/>
              <w:rPr/>
            </w:pPr>
            <w:r w:rsidDel="00000000" w:rsidR="00000000" w:rsidRPr="00000000">
              <w:rPr>
                <w:rFonts w:ascii="Arial" w:cs="Arial" w:eastAsia="Arial" w:hAnsi="Arial"/>
                <w:color w:val="1b2a4a"/>
                <w:sz w:val="16"/>
                <w:szCs w:val="16"/>
                <w:rtl w:val="0"/>
              </w:rPr>
              <w:t xml:space="preserve">$356</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80.0" w:type="dxa"/>
              <w:bottom w:w="60.0" w:type="dxa"/>
              <w:right w:w="80.0" w:type="dxa"/>
            </w:tcMar>
          </w:tcPr>
          <w:p w:rsidR="00000000" w:rsidDel="00000000" w:rsidP="00000000" w:rsidRDefault="00000000" w:rsidRPr="00000000" w14:paraId="00000088">
            <w:pPr>
              <w:jc w:val="center"/>
              <w:rPr/>
            </w:pPr>
            <w:r w:rsidDel="00000000" w:rsidR="00000000" w:rsidRPr="00000000">
              <w:rPr>
                <w:rFonts w:ascii="Arial" w:cs="Arial" w:eastAsia="Arial" w:hAnsi="Arial"/>
                <w:color w:val="1b2a4a"/>
                <w:sz w:val="16"/>
                <w:szCs w:val="16"/>
                <w:rtl w:val="0"/>
              </w:rPr>
              <w:t xml:space="preserve">362</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80.0" w:type="dxa"/>
              <w:bottom w:w="60.0" w:type="dxa"/>
              <w:right w:w="80.0" w:type="dxa"/>
            </w:tcMar>
          </w:tcPr>
          <w:p w:rsidR="00000000" w:rsidDel="00000000" w:rsidP="00000000" w:rsidRDefault="00000000" w:rsidRPr="00000000" w14:paraId="00000089">
            <w:pPr>
              <w:jc w:val="center"/>
              <w:rPr/>
            </w:pPr>
            <w:r w:rsidDel="00000000" w:rsidR="00000000" w:rsidRPr="00000000">
              <w:rPr>
                <w:rFonts w:ascii="Arial" w:cs="Arial" w:eastAsia="Arial" w:hAnsi="Arial"/>
                <w:color w:val="1b2a4a"/>
                <w:sz w:val="16"/>
                <w:szCs w:val="16"/>
                <w:rtl w:val="0"/>
              </w:rPr>
              <w:t xml:space="preserve">215</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0f6fa" w:val="clear"/>
            <w:tcMar>
              <w:top w:w="60.0" w:type="dxa"/>
              <w:left w:w="80.0" w:type="dxa"/>
              <w:bottom w:w="60.0" w:type="dxa"/>
              <w:right w:w="80.0" w:type="dxa"/>
            </w:tcMar>
          </w:tcPr>
          <w:p w:rsidR="00000000" w:rsidDel="00000000" w:rsidP="00000000" w:rsidRDefault="00000000" w:rsidRPr="00000000" w14:paraId="0000008A">
            <w:pPr>
              <w:jc w:val="center"/>
              <w:rPr/>
            </w:pPr>
            <w:r w:rsidDel="00000000" w:rsidR="00000000" w:rsidRPr="00000000">
              <w:rPr>
                <w:rFonts w:ascii="Arial" w:cs="Arial" w:eastAsia="Arial" w:hAnsi="Arial"/>
                <w:color w:val="1b2a4a"/>
                <w:sz w:val="16"/>
                <w:szCs w:val="16"/>
                <w:rtl w:val="0"/>
              </w:rPr>
              <w:t xml:space="preserve">$1.66</w:t>
            </w:r>
            <w:r w:rsidDel="00000000" w:rsidR="00000000" w:rsidRPr="00000000">
              <w:rPr>
                <w:rtl w:val="0"/>
              </w:rPr>
            </w:r>
          </w:p>
        </w:tc>
      </w:tr>
    </w:tbl>
    <w:p w:rsidR="00000000" w:rsidDel="00000000" w:rsidP="00000000" w:rsidRDefault="00000000" w:rsidRPr="00000000" w14:paraId="0000008B">
      <w:pPr>
        <w:spacing w:after="200" w:before="200" w:lineRule="auto"/>
        <w:rPr/>
      </w:pPr>
      <w:r w:rsidDel="00000000" w:rsidR="00000000" w:rsidRPr="00000000">
        <w:rPr>
          <w:rtl w:val="0"/>
        </w:rPr>
      </w:r>
    </w:p>
    <w:p w:rsidR="00000000" w:rsidDel="00000000" w:rsidP="00000000" w:rsidRDefault="00000000" w:rsidRPr="00000000" w14:paraId="0000008C">
      <w:pPr>
        <w:pStyle w:val="Heading1"/>
        <w:rPr/>
      </w:pPr>
      <w:r w:rsidDel="00000000" w:rsidR="00000000" w:rsidRPr="00000000">
        <w:rPr>
          <w:rtl w:val="0"/>
        </w:rPr>
        <w:t xml:space="preserve">Industry Context</w:t>
      </w:r>
    </w:p>
    <w:p w:rsidR="00000000" w:rsidDel="00000000" w:rsidP="00000000" w:rsidRDefault="00000000" w:rsidRPr="00000000" w14:paraId="0000008D">
      <w:pPr>
        <w:spacing w:after="200" w:lineRule="auto"/>
        <w:rPr/>
      </w:pPr>
      <w:r w:rsidDel="00000000" w:rsidR="00000000" w:rsidRPr="00000000">
        <w:rPr>
          <w:sz w:val="22"/>
          <w:szCs w:val="22"/>
          <w:rtl w:val="0"/>
        </w:rPr>
        <w:t xml:space="preserve">To put these results in perspective, typical Meta ad benchmarks for financial services lead generation show average costs per lead ranging from $15 to $50+, with conversion rates between 8–15%. Our campaigns delivered a blended CPL of $4.48 (70–91% below industry average) and conversion rates of 43–58% (3–7x above typical benchmarks). The veteran campaign’s $1.75 CPL represents an 88–97% reduction versus standard financial services acquisition costs. On a total spend of $57,187, the engagement generated 12,765 leads—a volume-to-spend ratio that dramatically outperforms industry norms.</w:t>
      </w:r>
      <w:r w:rsidDel="00000000" w:rsidR="00000000" w:rsidRPr="00000000">
        <w:rPr>
          <w:rtl w:val="0"/>
        </w:rPr>
      </w:r>
    </w:p>
    <w:p w:rsidR="00000000" w:rsidDel="00000000" w:rsidP="00000000" w:rsidRDefault="00000000" w:rsidRPr="00000000" w14:paraId="0000008E">
      <w:pPr>
        <w:pStyle w:val="Heading1"/>
        <w:rPr/>
      </w:pPr>
      <w:r w:rsidDel="00000000" w:rsidR="00000000" w:rsidRPr="00000000">
        <w:rPr>
          <w:rtl w:val="0"/>
        </w:rPr>
        <w:t xml:space="preserve">Key Takeaways</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1b2a4a"/>
          <w:sz w:val="22"/>
          <w:szCs w:val="22"/>
          <w:u w:val="none"/>
          <w:shd w:fill="auto" w:val="clear"/>
          <w:vertAlign w:val="baseline"/>
          <w:rtl w:val="0"/>
        </w:rPr>
        <w:t xml:space="preserve">Niche beats broad: </w:t>
      </w:r>
      <w:r w:rsidDel="00000000" w:rsidR="00000000" w:rsidRPr="00000000">
        <w:rPr>
          <w:rFonts w:ascii="Arial" w:cs="Arial" w:eastAsia="Arial" w:hAnsi="Arial"/>
          <w:b w:val="0"/>
          <w:bCs w:val="0"/>
          <w:i w:val="0"/>
          <w:iCs w:val="0"/>
          <w:smallCaps w:val="0"/>
          <w:strike w:val="0"/>
          <w:color w:val="1b2a4a"/>
          <w:sz w:val="22"/>
          <w:szCs w:val="22"/>
          <w:u w:val="none"/>
          <w:shd w:fill="auto" w:val="clear"/>
          <w:vertAlign w:val="baseline"/>
          <w:rtl w:val="0"/>
        </w:rPr>
        <w:t xml:space="preserve">Industry-specific creative consistently outperformed generic financial services messaging. Speaking directly to a roofer’s cash flow cycle or a trucker’s equipment needs builds trust that generic ads cannot.</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1b2a4a"/>
          <w:sz w:val="22"/>
          <w:szCs w:val="22"/>
          <w:u w:val="none"/>
          <w:shd w:fill="auto" w:val="clear"/>
          <w:vertAlign w:val="baseline"/>
          <w:rtl w:val="0"/>
        </w:rPr>
        <w:t xml:space="preserve">Multi-hook testing is essential: </w:t>
      </w:r>
      <w:r w:rsidDel="00000000" w:rsidR="00000000" w:rsidRPr="00000000">
        <w:rPr>
          <w:rFonts w:ascii="Arial" w:cs="Arial" w:eastAsia="Arial" w:hAnsi="Arial"/>
          <w:b w:val="0"/>
          <w:bCs w:val="0"/>
          <w:i w:val="0"/>
          <w:iCs w:val="0"/>
          <w:smallCaps w:val="0"/>
          <w:strike w:val="0"/>
          <w:color w:val="1b2a4a"/>
          <w:sz w:val="22"/>
          <w:szCs w:val="22"/>
          <w:u w:val="none"/>
          <w:shd w:fill="auto" w:val="clear"/>
          <w:vertAlign w:val="baseline"/>
          <w:rtl w:val="0"/>
        </w:rPr>
        <w:t xml:space="preserve">Launching 7–10 hooks per campaign allowed us to find winners fast. In every campaign, 1–2 hooks emerged as clear leaders, often driving 80%+ of all leads.</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1b2a4a"/>
          <w:sz w:val="22"/>
          <w:szCs w:val="22"/>
          <w:u w:val="none"/>
          <w:shd w:fill="auto" w:val="clear"/>
          <w:vertAlign w:val="baseline"/>
          <w:rtl w:val="0"/>
        </w:rPr>
        <w:t xml:space="preserve">Empathy-driven messaging wins: </w:t>
      </w:r>
      <w:r w:rsidDel="00000000" w:rsidR="00000000" w:rsidRPr="00000000">
        <w:rPr>
          <w:rFonts w:ascii="Arial" w:cs="Arial" w:eastAsia="Arial" w:hAnsi="Arial"/>
          <w:b w:val="0"/>
          <w:bCs w:val="0"/>
          <w:i w:val="0"/>
          <w:iCs w:val="0"/>
          <w:smallCaps w:val="0"/>
          <w:strike w:val="0"/>
          <w:color w:val="1b2a4a"/>
          <w:sz w:val="22"/>
          <w:szCs w:val="22"/>
          <w:u w:val="none"/>
          <w:shd w:fill="auto" w:val="clear"/>
          <w:vertAlign w:val="baseline"/>
          <w:rtl w:val="0"/>
        </w:rPr>
        <w:t xml:space="preserve">The top-performing hooks across all campaigns shared a common trait—they acknowledged the audience’s frustration with traditional banks before presenting the solution.</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1b2a4a"/>
          <w:sz w:val="22"/>
          <w:szCs w:val="22"/>
          <w:u w:val="none"/>
          <w:shd w:fill="auto" w:val="clear"/>
          <w:vertAlign w:val="baseline"/>
          <w:rtl w:val="0"/>
        </w:rPr>
        <w:t xml:space="preserve">Lead forms drive quality and volume: </w:t>
      </w:r>
      <w:r w:rsidDel="00000000" w:rsidR="00000000" w:rsidRPr="00000000">
        <w:rPr>
          <w:rFonts w:ascii="Arial" w:cs="Arial" w:eastAsia="Arial" w:hAnsi="Arial"/>
          <w:b w:val="0"/>
          <w:bCs w:val="0"/>
          <w:i w:val="0"/>
          <w:iCs w:val="0"/>
          <w:smallCaps w:val="0"/>
          <w:strike w:val="0"/>
          <w:color w:val="1b2a4a"/>
          <w:sz w:val="22"/>
          <w:szCs w:val="22"/>
          <w:u w:val="none"/>
          <w:shd w:fill="auto" w:val="clear"/>
          <w:vertAlign w:val="baseline"/>
          <w:rtl w:val="0"/>
        </w:rPr>
        <w:t xml:space="preserve">Using Meta’s native lead forms with qualifying questions delivered conversion rates of 43–58%—far above industry norms—while also filtering for intent.</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1b2a4a"/>
          <w:sz w:val="22"/>
          <w:szCs w:val="22"/>
          <w:u w:val="none"/>
          <w:shd w:fill="auto" w:val="clear"/>
          <w:vertAlign w:val="baseline"/>
          <w:rtl w:val="0"/>
        </w:rPr>
        <w:t xml:space="preserve">Identity-based targeting compounds returns: </w:t>
      </w:r>
      <w:r w:rsidDel="00000000" w:rsidR="00000000" w:rsidRPr="00000000">
        <w:rPr>
          <w:rFonts w:ascii="Arial" w:cs="Arial" w:eastAsia="Arial" w:hAnsi="Arial"/>
          <w:b w:val="0"/>
          <w:bCs w:val="0"/>
          <w:i w:val="0"/>
          <w:iCs w:val="0"/>
          <w:smallCaps w:val="0"/>
          <w:strike w:val="0"/>
          <w:color w:val="1b2a4a"/>
          <w:sz w:val="22"/>
          <w:szCs w:val="22"/>
          <w:u w:val="none"/>
          <w:shd w:fill="auto" w:val="clear"/>
          <w:vertAlign w:val="baseline"/>
          <w:rtl w:val="0"/>
        </w:rPr>
        <w:t xml:space="preserve">The veteran campaign’s exceptional performance ($1.75 CPL, 57.9% conversion) shows that when messaging deeply aligns with a group’s identity and values, both cost efficiency and lead quality improve dramatically.</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1b2a4a"/>
          <w:sz w:val="22"/>
          <w:szCs w:val="22"/>
          <w:u w:val="none"/>
          <w:shd w:fill="auto" w:val="clear"/>
          <w:vertAlign w:val="baseline"/>
          <w:rtl w:val="0"/>
        </w:rPr>
        <w:t xml:space="preserve">AI agents close the speed-to-contact gap: </w:t>
      </w:r>
      <w:r w:rsidDel="00000000" w:rsidR="00000000" w:rsidRPr="00000000">
        <w:rPr>
          <w:rFonts w:ascii="Arial" w:cs="Arial" w:eastAsia="Arial" w:hAnsi="Arial"/>
          <w:b w:val="0"/>
          <w:bCs w:val="0"/>
          <w:i w:val="0"/>
          <w:iCs w:val="0"/>
          <w:smallCaps w:val="0"/>
          <w:strike w:val="0"/>
          <w:color w:val="1b2a4a"/>
          <w:sz w:val="22"/>
          <w:szCs w:val="22"/>
          <w:u w:val="none"/>
          <w:shd w:fill="auto" w:val="clear"/>
          <w:vertAlign w:val="baseline"/>
          <w:rtl w:val="0"/>
        </w:rPr>
        <w:t xml:space="preserve">Deploying AI voice agents to contact leads within minutes of form submission resulted in 329 live call transfers—qualified prospects connected directly to the sales team in real time. This turned a lead generation campaign into a full-funnel sales acceleration system.</w:t>
      </w:r>
    </w:p>
    <w:p w:rsidR="00000000" w:rsidDel="00000000" w:rsidP="00000000" w:rsidRDefault="00000000" w:rsidRPr="00000000" w14:paraId="00000095">
      <w:pPr>
        <w:spacing w:after="200" w:before="200" w:lineRule="auto"/>
        <w:rPr/>
      </w:pPr>
      <w:r w:rsidDel="00000000" w:rsidR="00000000" w:rsidRPr="00000000">
        <w:rPr>
          <w:rtl w:val="0"/>
        </w:rPr>
      </w:r>
    </w:p>
    <w:p w:rsidR="00000000" w:rsidDel="00000000" w:rsidP="00000000" w:rsidRDefault="00000000" w:rsidRPr="00000000" w14:paraId="00000096">
      <w:pPr>
        <w:pStyle w:val="Heading1"/>
        <w:rPr/>
      </w:pPr>
      <w:r w:rsidDel="00000000" w:rsidR="00000000" w:rsidRPr="00000000">
        <w:rPr>
          <w:rtl w:val="0"/>
        </w:rPr>
        <w:t xml:space="preserve">Methodology</w:t>
      </w:r>
    </w:p>
    <w:p w:rsidR="00000000" w:rsidDel="00000000" w:rsidP="00000000" w:rsidRDefault="00000000" w:rsidRPr="00000000" w14:paraId="00000097">
      <w:pPr>
        <w:spacing w:after="200" w:lineRule="auto"/>
        <w:rPr/>
      </w:pPr>
      <w:r w:rsidDel="00000000" w:rsidR="00000000" w:rsidRPr="00000000">
        <w:rPr>
          <w:sz w:val="22"/>
          <w:szCs w:val="22"/>
          <w:rtl w:val="0"/>
        </w:rPr>
        <w:t xml:space="preserve">All campaigns ran as Meta lead form ads across Facebook and Instagram placements. Lead counts (12,765 total) reflect completed form submissions tracked via Meta’s lead center and verified against the client’s CRM exports. Confirmed ad spend and performance metrics for the General US ($12,656) and Veteran ($1,036) campaigns are sourced directly from Meta Ads Manager. Total ad spend ($57,187) reflects the confirmed blended CPL of $4.48 across all 12,765 leads; impression and click estimates are scaled proportionally from the confirmed campaign data. Live call transfer counts (329 total) represent verified transfers completed by AI voice agents. Campaign dates ranged from September 8 through December 14, 2025.</w:t>
      </w:r>
      <w:r w:rsidDel="00000000" w:rsidR="00000000" w:rsidRPr="00000000">
        <w:rPr>
          <w:rtl w:val="0"/>
        </w:rPr>
      </w:r>
    </w:p>
    <w:sectPr>
      <w:headerReference r:id="rId7" w:type="default"/>
      <w:footerReference r:id="rId8" w:type="default"/>
      <w:type w:val="nextPage"/>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jc w:val="center"/>
      <w:rPr/>
    </w:pPr>
    <w:r w:rsidDel="00000000" w:rsidR="00000000" w:rsidRPr="00000000">
      <w:rPr>
        <w:rFonts w:ascii="Arial" w:cs="Arial" w:eastAsia="Arial" w:hAnsi="Arial"/>
        <w:color w:val="4a5568"/>
        <w:sz w:val="16"/>
        <w:szCs w:val="16"/>
        <w:rtl w:val="0"/>
      </w:rPr>
      <w:t xml:space="preserve">Page </w:t>
    </w:r>
    <w:r w:rsidDel="00000000" w:rsidR="00000000" w:rsidRPr="00000000">
      <w:rPr>
        <w:rFonts w:ascii="Arial" w:cs="Arial" w:eastAsia="Arial" w:hAnsi="Arial"/>
        <w:color w:val="4a5568"/>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jc w:val="right"/>
      <w:rPr/>
    </w:pPr>
    <w:r w:rsidDel="00000000" w:rsidR="00000000" w:rsidRPr="00000000">
      <w:rPr>
        <w:rFonts w:ascii="Arial" w:cs="Arial" w:eastAsia="Arial" w:hAnsi="Arial"/>
        <w:i w:val="1"/>
        <w:iCs w:val="1"/>
        <w:color w:val="4a5568"/>
        <w:sz w:val="16"/>
        <w:szCs w:val="16"/>
        <w:rtl w:val="0"/>
      </w:rPr>
      <w:t xml:space="preserve">Case Study — Alternative Lending Client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b2a4a"/>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1b2a4a"/>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pPr>
    <w:rPr>
      <w:rFonts w:ascii="Arial" w:cs="Arial" w:eastAsia="Arial" w:hAnsi="Arial"/>
      <w:b w:val="1"/>
      <w:bCs w:val="1"/>
      <w:i w:val="0"/>
      <w:iCs w:val="0"/>
      <w:smallCaps w:val="0"/>
      <w:strike w:val="0"/>
      <w:color w:val="2e86ab"/>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Arial" w:cs="Arial" w:eastAsia="Arial" w:hAnsi="Arial"/>
      <w:b w:val="1"/>
      <w:bCs w:val="1"/>
      <w:i w:val="0"/>
      <w:iCs w:val="0"/>
      <w:smallCaps w:val="0"/>
      <w:strike w:val="0"/>
      <w:color w:val="1b2a4a"/>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b2a4a"/>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character" w:styleId="EndnoteReference">
    <w:name w:val="endnote reference"/>
    <w:basedOn w:val="DefaultParagraphFont"/>
    <w:uiPriority w:val="99"/>
    <w:semiHidden w:val="1"/>
    <w:unhideWhenUsed w:val="1"/>
    <w:rPr>
      <w:vertAlign w:val="superscript"/>
    </w:rPr>
  </w:style>
  <w:style w:type="paragraph" w:styleId="EndnoteText">
    <w:name w:val="endnote text"/>
    <w:basedOn w:val="Normal"/>
    <w:link w:val="EndnoteTextChar"/>
    <w:uiPriority w:val="99"/>
    <w:semiHidden w:val="1"/>
    <w:unhideWhenUsed w:val="1"/>
    <w:pPr>
      <w:spacing w:after="0" w:line="240" w:lineRule="auto"/>
    </w:pPr>
    <w:rPr>
      <w:sz w:val="20"/>
      <w:szCs w:val="20"/>
    </w:rPr>
  </w:style>
  <w:style w:type="character" w:styleId="EndnoteTextChar">
    <w:name w:val="Endnote Text Char"/>
    <w:basedOn w:val="DefaultParagraphFont"/>
    <w:link w:val="End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40s2tTyoskvzy5DtKZb88Hg2dA==">CgMxLjA4AHIhMVhsYVFPNVFSbEN5emJCRWpOSmxyamswOTN0S0dESFZZ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2026-02-25T15:02:17.583Z</dcterms:created>
  <dc:creator>Un-named</dc:creator>
</cp:coreProperties>
</file>

<file path=docProps/custom.xml><?xml version="1.0" encoding="utf-8"?>
<Properties xmlns="http://schemas.openxmlformats.org/officeDocument/2006/custom-properties" xmlns:vt="http://schemas.openxmlformats.org/officeDocument/2006/docPropsVTypes"/>
</file>