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00"/>
        <w:jc w:val="center"/>
      </w:pPr>
      <w:r>
        <w:rPr>
          <w:rFonts w:ascii="Arial" w:cs="Arial" w:eastAsia="Arial" w:hAnsi="Arial"/>
          <w:b/>
          <w:bCs/>
          <w:color w:val="2E75B6"/>
          <w:spacing w:val="200"/>
          <w:sz w:val="24"/>
          <w:szCs w:val="24"/>
        </w:rPr>
        <w:t xml:space="preserve">CASE STUDY</w:t>
      </w:r>
    </w:p>
    <w:p>
      <w:pPr>
        <w:pBdr>
          <w:bottom w:val="single" w:color="2E75B6" w:sz="6" w:space="8"/>
        </w:pBdr>
        <w:spacing w:after="200"/>
        <w:jc w:val="center"/>
      </w:pPr>
    </w:p>
    <w:p>
      <w:pPr>
        <w:spacing w:after="200"/>
        <w:jc w:val="center"/>
      </w:pPr>
      <w:r>
        <w:rPr>
          <w:rFonts w:ascii="Arial" w:cs="Arial" w:eastAsia="Arial" w:hAnsi="Arial"/>
          <w:b/>
          <w:bCs/>
          <w:color w:val="1B2A4A"/>
          <w:sz w:val="40"/>
          <w:szCs w:val="40"/>
        </w:rPr>
        <w:t xml:space="preserve">How a Meta Ads Campaign Generated</w:t>
      </w:r>
    </w:p>
    <w:p>
      <w:pPr>
        <w:spacing w:after="200"/>
        <w:jc w:val="center"/>
      </w:pPr>
      <w:r>
        <w:rPr>
          <w:rFonts w:ascii="Arial" w:cs="Arial" w:eastAsia="Arial" w:hAnsi="Arial"/>
          <w:b/>
          <w:bCs/>
          <w:color w:val="2E75B6"/>
          <w:sz w:val="40"/>
          <w:szCs w:val="40"/>
        </w:rPr>
        <w:t xml:space="preserve">77 Qualified Leads in 5 Weeks</w:t>
      </w:r>
    </w:p>
    <w:p>
      <w:pPr>
        <w:spacing w:after="100"/>
        <w:jc w:val="center"/>
      </w:pPr>
      <w:r>
        <w:rPr>
          <w:rFonts w:ascii="Arial" w:cs="Arial" w:eastAsia="Arial" w:hAnsi="Arial"/>
          <w:b/>
          <w:bCs/>
          <w:color w:val="1B2A4A"/>
          <w:sz w:val="40"/>
          <w:szCs w:val="40"/>
        </w:rPr>
        <w:t xml:space="preserve">for an Accounting Firm Roll-Up Strategy</w:t>
      </w:r>
    </w:p>
    <w:p>
      <w:pPr>
        <w:pBdr>
          <w:top w:val="single" w:color="2E75B6" w:sz="6" w:space="8"/>
        </w:pBdr>
        <w:spacing w:before="200"/>
        <w:jc w:val="center"/>
      </w:pPr>
    </w:p>
    <w:p>
      <w:pPr>
        <w:spacing w:after="100" w:before="200"/>
        <w:jc w:val="center"/>
      </w:pPr>
      <w:r>
        <w:rPr>
          <w:rFonts w:ascii="Arial" w:cs="Arial" w:eastAsia="Arial" w:hAnsi="Arial"/>
          <w:b/>
          <w:bCs/>
          <w:color w:val="27AE60"/>
          <w:sz w:val="26"/>
          <w:szCs w:val="26"/>
        </w:rPr>
        <w:t xml:space="preserve">3 Companies in Due Diligence  |  1 Acquisition Closed</w:t>
      </w:r>
    </w:p>
    <w:p>
      <w:pPr>
        <w:spacing w:before="100"/>
        <w:jc w:val="center"/>
      </w:pPr>
      <w:r>
        <w:rPr>
          <w:rFonts w:ascii="Arial" w:cs="Arial" w:eastAsia="Arial" w:hAnsi="Arial"/>
          <w:color w:val="666666"/>
          <w:sz w:val="22"/>
          <w:szCs w:val="22"/>
        </w:rPr>
        <w:t xml:space="preserve">$1,741.45 Total Ad Spend  |  $22.62 Avg. Cost Per Lead</w:t>
      </w:r>
    </w:p>
    <w:p>
      <w:pPr>
        <w:spacing w:before="2000"/>
      </w:pPr>
    </w:p>
    <w:p>
      <w:pPr>
        <w:jc w:val="center"/>
      </w:pPr>
      <w:r>
        <w:rPr>
          <w:rFonts w:ascii="Arial" w:cs="Arial" w:eastAsia="Arial" w:hAnsi="Arial"/>
          <w:color w:val="888888"/>
          <w:sz w:val="22"/>
          <w:szCs w:val="22"/>
        </w:rPr>
        <w:t xml:space="preserve">Prepared by Secret Agents AI</w:t>
      </w:r>
    </w:p>
    <w:p>
      <w:pPr>
        <w:sectPr>
          <w:pgSz w:w="12240" w:h="15840" w:orient="portrait"/>
          <w:pgMar w:top="1440" w:right="1440" w:bottom="1440" w:left="1440" w:header="708" w:footer="708" w:gutter="0"/>
          <w:pgNumType/>
          <w:docGrid w:linePitch="360"/>
        </w:sectPr>
      </w:pPr>
    </w:p>
    <w:p>
      <w:pPr>
        <w:pStyle w:val="Heading1"/>
      </w:pPr>
      <w:r>
        <w:t xml:space="preserve">Client Overview</w:t>
      </w:r>
    </w:p>
    <w:p>
      <w:pPr>
        <w:spacing w:after="200"/>
      </w:pPr>
      <w:r>
        <w:t xml:space="preserve">The client operates an accounting firm with an aggressive growth strategy: </w:t>
      </w:r>
      <w:r>
        <w:rPr>
          <w:b/>
          <w:bCs/>
        </w:rPr>
        <w:t xml:space="preserve">acquiring other accounting practices</w:t>
      </w:r>
      <w:r>
        <w:t xml:space="preserve"> to build a larger, consolidated firm through a roll-up model. Their goal was to identify and connect with accounting firm owners across the United States who were open to being acquired, merging, or exploring partnership opportunities.</w:t>
      </w:r>
    </w:p>
    <w:p>
      <w:pPr>
        <w:spacing w:after="300"/>
      </w:pPr>
      <w:r>
        <w:t xml:space="preserve">Rather than relying on cold outreach, broker networks, or slow-moving referral channels, the client partnered with us to build a </w:t>
      </w:r>
      <w:r>
        <w:rPr>
          <w:b/>
          <w:bCs/>
        </w:rPr>
        <w:t xml:space="preserve">direct-response Meta Ads campaign</w:t>
      </w:r>
      <w:r>
        <w:t xml:space="preserve"> that would consistently surface acquisition-ready firm owners at scale.</w:t>
      </w:r>
    </w:p>
    <w:p>
      <w:pPr>
        <w:pStyle w:val="Heading1"/>
      </w:pPr>
      <w:r>
        <w:t xml:space="preserve">The Challenge</w:t>
      </w:r>
    </w:p>
    <w:p>
      <w:pPr>
        <w:spacing w:after="160"/>
      </w:pPr>
      <w:r>
        <w:t xml:space="preserve">Acquiring accounting firms through digital advertising presents several unique obstacles:</w:t>
      </w:r>
    </w:p>
    <w:p>
      <w:pPr>
        <w:pStyle w:val="ListParagraph"/>
        <w:numPr>
          <w:ilvl w:val="0"/>
          <w:numId w:val="2"/>
        </w:numPr>
        <w:spacing w:after="100"/>
      </w:pPr>
      <w:r>
        <w:rPr>
          <w:b/>
          <w:bCs/>
        </w:rPr>
        <w:t xml:space="preserve">Hyper-niche audience: </w:t>
      </w:r>
      <w:r>
        <w:t xml:space="preserve">Accounting firm owners who are open to selling or merging represent a tiny slice of the population. Traditional broad targeting would waste budget on irrelevant impressions.</w:t>
      </w:r>
    </w:p>
    <w:p>
      <w:pPr>
        <w:pStyle w:val="ListParagraph"/>
        <w:numPr>
          <w:ilvl w:val="0"/>
          <w:numId w:val="2"/>
        </w:numPr>
        <w:spacing w:after="100"/>
      </w:pPr>
      <w:r>
        <w:rPr>
          <w:b/>
          <w:bCs/>
        </w:rPr>
        <w:t xml:space="preserve">High-trust decision: </w:t>
      </w:r>
      <w:r>
        <w:t xml:space="preserve">Selling a practice is one of the biggest financial decisions a firm owner will ever make. The creative had to build instant credibility, not just generate curiosity clicks.</w:t>
      </w:r>
    </w:p>
    <w:p>
      <w:pPr>
        <w:pStyle w:val="ListParagraph"/>
        <w:numPr>
          <w:ilvl w:val="0"/>
          <w:numId w:val="2"/>
        </w:numPr>
        <w:spacing w:after="100"/>
      </w:pPr>
      <w:r>
        <w:rPr>
          <w:b/>
          <w:bCs/>
        </w:rPr>
        <w:t xml:space="preserve">Long sales cycle: </w:t>
      </w:r>
      <w:r>
        <w:t xml:space="preserve">Unlike e-commerce or local service leads, acquisition conversations take weeks to months. The campaign needed to generate serious inquiries, not tire-kickers.</w:t>
      </w:r>
    </w:p>
    <w:p>
      <w:pPr>
        <w:pStyle w:val="ListParagraph"/>
        <w:numPr>
          <w:ilvl w:val="0"/>
          <w:numId w:val="2"/>
        </w:numPr>
        <w:spacing w:after="300"/>
      </w:pPr>
      <w:r>
        <w:rPr>
          <w:b/>
          <w:bCs/>
        </w:rPr>
        <w:t xml:space="preserve">Creative fatigue in a small market: </w:t>
      </w:r>
      <w:r>
        <w:t xml:space="preserve">With a limited audience pool, running the same ad would burn out quickly. Multiple hook variants were essential to sustain performance.</w:t>
      </w:r>
    </w:p>
    <w:p>
      <w:pPr>
        <w:pStyle w:val="Heading1"/>
      </w:pPr>
      <w:r>
        <w:t xml:space="preserve">The Strategy</w:t>
      </w:r>
    </w:p>
    <w:p>
      <w:pPr>
        <w:pStyle w:val="Heading2"/>
      </w:pPr>
      <w:r>
        <w:t xml:space="preserve">1. Multi-Hook Creative Testing</w:t>
      </w:r>
    </w:p>
    <w:p>
      <w:pPr>
        <w:spacing w:after="160"/>
      </w:pPr>
      <w:r>
        <w:t xml:space="preserve">We developed </w:t>
      </w:r>
      <w:r>
        <w:rPr>
          <w:b/>
          <w:bCs/>
        </w:rPr>
        <w:t xml:space="preserve">7+ unique video hook variants</w:t>
      </w:r>
      <w:r>
        <w:t xml:space="preserve"> (labeled B2_V2 through B2_V9), each designed to test different angles of the acquisition pitch. This approach allowed us to:</w:t>
      </w:r>
    </w:p>
    <w:p>
      <w:pPr>
        <w:pStyle w:val="ListParagraph"/>
        <w:numPr>
          <w:ilvl w:val="0"/>
          <w:numId w:val="2"/>
        </w:numPr>
        <w:spacing w:after="80"/>
      </w:pPr>
      <w:r>
        <w:t xml:space="preserve">Identify which emotional triggers resonated most with firm owners</w:t>
      </w:r>
    </w:p>
    <w:p>
      <w:pPr>
        <w:pStyle w:val="ListParagraph"/>
        <w:numPr>
          <w:ilvl w:val="0"/>
          <w:numId w:val="2"/>
        </w:numPr>
        <w:spacing w:after="80"/>
      </w:pPr>
      <w:r>
        <w:t xml:space="preserve">Rotate creatives to prevent audience fatigue in a small niche</w:t>
      </w:r>
    </w:p>
    <w:p>
      <w:pPr>
        <w:pStyle w:val="ListParagraph"/>
        <w:numPr>
          <w:ilvl w:val="0"/>
          <w:numId w:val="2"/>
        </w:numPr>
        <w:spacing w:after="200"/>
      </w:pPr>
      <w:r>
        <w:t xml:space="preserve">Let Meta's algorithm optimize delivery to the highest-performing hooks</w:t>
      </w:r>
    </w:p>
    <w:p>
      <w:pPr>
        <w:sectPr>
          <w:headerReference w:type="default" r:id="rId7"/>
          <w:footerReference w:type="default" r:id="rId8"/>
          <w:pgSz w:w="12240" w:h="15840" w:orient="portrait"/>
          <w:pgMar w:top="1440" w:right="1440" w:bottom="1440" w:left="1440" w:header="708" w:footer="708" w:gutter="0"/>
          <w:pgNumType/>
          <w:docGrid w:linePitch="360"/>
        </w:sectPr>
      </w:pPr>
    </w:p>
    <w:p>
      <w:pPr>
        <w:pStyle w:val="Heading2"/>
      </w:pPr>
      <w:r>
        <w:t xml:space="preserve">2. Vertical Video Ads Built for the Feed</w:t>
      </w:r>
    </w:p>
    <w:p>
      <w:pPr>
        <w:spacing w:after="160"/>
      </w:pPr>
      <w:r>
        <w:t xml:space="preserve">All creatives were produced as </w:t>
      </w:r>
      <w:r>
        <w:rPr>
          <w:b/>
          <w:bCs/>
        </w:rPr>
        <w:t xml:space="preserve">1080x1920 vertical video</w:t>
      </w:r>
      <w:r>
        <w:t xml:space="preserve"> optimized for mobile-first placements on Facebook and Instagram. The hooks were designed to stop the scroll by speaking directly to the pain points and aspirations of accounting firm owners considering their next chapter.</w:t>
      </w:r>
    </w:p>
    <w:p>
      <w:pPr>
        <w:spacing w:after="100" w:before="200"/>
        <w:jc w:val="center"/>
      </w:pPr>
      <w:r>
        <w:rPr>
          <w:b/>
          <w:bCs/>
          <w:color w:val="2E75B6"/>
          <w:sz w:val="20"/>
          <w:szCs w:val="20"/>
        </w:rPr>
        <w:t xml:space="preserve">Sample Creative: Hook Variant 6</w:t>
      </w:r>
    </w:p>
    <w:p>
      <w:pPr>
        <w:spacing w:after="200"/>
        <w:jc w:val="center"/>
      </w:pPr>
      <w:r>
        <w:drawing>
          <wp:inline distT="0" distB="0" distL="0" distR="0">
            <wp:extent cx="1714500" cy="3048000"/>
            <wp:effectExtent t="0" r="0" b="0" l="0"/>
            <wp:docPr id="1" name="hook6" descr="Sample frame from Hook 6 video ad creative" title="Hook 6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714500" cy="3048000"/>
                    </a:xfrm>
                    <a:prstGeom prst="rect">
                      <a:avLst/>
                    </a:prstGeom>
                  </pic:spPr>
                </pic:pic>
              </a:graphicData>
            </a:graphic>
          </wp:inline>
        </w:drawing>
      </w:r>
    </w:p>
    <w:p>
      <w:pPr>
        <w:pStyle w:val="Heading2"/>
      </w:pPr>
      <w:r>
        <w:t xml:space="preserve">3. Lead Form Qualification</w:t>
      </w:r>
    </w:p>
    <w:p>
      <w:pPr>
        <w:spacing w:after="160"/>
      </w:pPr>
      <w:r>
        <w:t xml:space="preserve">Rather than sending traffic to a landing page, we used </w:t>
      </w:r>
      <w:r>
        <w:rPr>
          <w:b/>
          <w:bCs/>
        </w:rPr>
        <w:t xml:space="preserve">Meta Lead Forms</w:t>
      </w:r>
      <w:r>
        <w:t xml:space="preserve"> with qualifying questions including business name, current situation, and services offered. This reduced friction for the prospect while giving the client enough information to prioritize follow-up and separate serious firm owners from unqualified inquiries.</w:t>
      </w:r>
    </w:p>
    <w:p>
      <w:pPr>
        <w:pStyle w:val="Heading2"/>
      </w:pPr>
      <w:r>
        <w:t xml:space="preserve">4. Weekly Budget Discipline</w:t>
      </w:r>
    </w:p>
    <w:p>
      <w:pPr>
        <w:spacing w:after="300"/>
      </w:pPr>
      <w:r>
        <w:t xml:space="preserve">The campaign ran on a </w:t>
      </w:r>
      <w:r>
        <w:rPr>
          <w:b/>
          <w:bCs/>
        </w:rPr>
        <w:t xml:space="preserve">consistent weekly budget of ~$350/week</w:t>
      </w:r>
      <w:r>
        <w:t xml:space="preserve">, totaling just $1,741.45 over the full 5-week flight. This disciplined approach proved that high-value acquisition leads don't require massive budgets. It requires the right message, in front of the right audience, with the right creative strategy.</w:t>
      </w:r>
    </w:p>
    <w:p>
      <w:pPr>
        <w:sectPr>
          <w:headerReference w:type="default" r:id="rId9"/>
          <w:footerReference w:type="default" r:id="rId10"/>
          <w:pgSz w:w="12240" w:h="15840" w:orient="portrait"/>
          <w:pgMar w:top="1440" w:right="1440" w:bottom="1440" w:left="1440" w:header="708" w:footer="708" w:gutter="0"/>
          <w:pgNumType/>
          <w:docGrid w:linePitch="360"/>
        </w:sectPr>
      </w:pPr>
    </w:p>
    <w:p>
      <w:pPr>
        <w:pStyle w:val="Heading1"/>
      </w:pPr>
      <w:r>
        <w:t xml:space="preserve">The Results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
        <w:gridCol w:w="2200"/>
        <w:gridCol w:w="200"/>
        <w:gridCol w:w="2200"/>
        <w:gridCol w:w="200"/>
        <w:gridCol w:w="2160"/>
      </w:tblGrid>
      <w:tr>
        <w:tc>
          <w:tcPr>
            <w:tcW w:type="dxa" w:w="2200"/>
            <w:tcBorders>
              <w:top w:val="none" w:sz="0"/>
              <w:left w:val="none" w:sz="0"/>
              <w:bottom w:val="none" w:sz="0"/>
              <w:right w:val="none" w:sz="0"/>
            </w:tcBorders>
            <w:shd w:fill="2E75B6" w:val="clear"/>
            <w:tcMar>
              <w:top w:type="dxa" w:w="200"/>
              <w:left w:type="dxa" w:w="140"/>
              <w:bottom w:type="dxa" w:w="200"/>
              <w:right w:type="dxa" w:w="140"/>
            </w:tcMar>
          </w:tcPr>
          <w:p>
            <w:pPr>
              <w:spacing w:after="60"/>
              <w:jc w:val="center"/>
            </w:pPr>
            <w:r>
              <w:rPr>
                <w:rFonts w:ascii="Arial" w:cs="Arial" w:eastAsia="Arial" w:hAnsi="Arial"/>
                <w:b/>
                <w:bCs/>
                <w:color w:val="FFFFFF"/>
                <w:sz w:val="36"/>
                <w:szCs w:val="36"/>
              </w:rPr>
              <w:t xml:space="preserve">77</w:t>
            </w:r>
          </w:p>
          <w:p>
            <w:pPr>
              <w:jc w:val="center"/>
            </w:pPr>
            <w:r>
              <w:rPr>
                <w:rFonts w:ascii="Arial" w:cs="Arial" w:eastAsia="Arial" w:hAnsi="Arial"/>
                <w:color w:val="FFFFFF"/>
                <w:sz w:val="16"/>
                <w:szCs w:val="16"/>
              </w:rPr>
              <w:t xml:space="preserve">TOTAL LEADS</w:t>
            </w:r>
          </w:p>
        </w:tc>
        <w:tc>
          <w:tcPr>
            <w:tcW w:type="dxa" w:w="200"/>
            <w:tcBorders>
              <w:top w:val="none" w:sz="0"/>
              <w:left w:val="none" w:sz="0"/>
              <w:bottom w:val="none" w:sz="0"/>
              <w:right w:val="none" w:sz="0"/>
            </w:tcBorders>
          </w:tcPr>
          <w:p>
            <w:r>
              <w:t xml:space="preserve"/>
            </w:r>
          </w:p>
        </w:tc>
        <w:tc>
          <w:tcPr>
            <w:tcW w:type="dxa" w:w="2200"/>
            <w:tcBorders>
              <w:top w:val="none" w:sz="0"/>
              <w:left w:val="none" w:sz="0"/>
              <w:bottom w:val="none" w:sz="0"/>
              <w:right w:val="none" w:sz="0"/>
            </w:tcBorders>
            <w:shd w:fill="2E75B6" w:val="clear"/>
            <w:tcMar>
              <w:top w:type="dxa" w:w="200"/>
              <w:left w:type="dxa" w:w="140"/>
              <w:bottom w:type="dxa" w:w="200"/>
              <w:right w:type="dxa" w:w="140"/>
            </w:tcMar>
          </w:tcPr>
          <w:p>
            <w:pPr>
              <w:spacing w:after="60"/>
              <w:jc w:val="center"/>
            </w:pPr>
            <w:r>
              <w:rPr>
                <w:rFonts w:ascii="Arial" w:cs="Arial" w:eastAsia="Arial" w:hAnsi="Arial"/>
                <w:b/>
                <w:bCs/>
                <w:color w:val="FFFFFF"/>
                <w:sz w:val="36"/>
                <w:szCs w:val="36"/>
              </w:rPr>
              <w:t xml:space="preserve">$1,741</w:t>
            </w:r>
          </w:p>
          <w:p>
            <w:pPr>
              <w:jc w:val="center"/>
            </w:pPr>
            <w:r>
              <w:rPr>
                <w:rFonts w:ascii="Arial" w:cs="Arial" w:eastAsia="Arial" w:hAnsi="Arial"/>
                <w:color w:val="FFFFFF"/>
                <w:sz w:val="16"/>
                <w:szCs w:val="16"/>
              </w:rPr>
              <w:t xml:space="preserve">TOTAL SPEND</w:t>
            </w:r>
          </w:p>
        </w:tc>
        <w:tc>
          <w:tcPr>
            <w:tcW w:type="dxa" w:w="200"/>
            <w:tcBorders>
              <w:top w:val="none" w:sz="0"/>
              <w:left w:val="none" w:sz="0"/>
              <w:bottom w:val="none" w:sz="0"/>
              <w:right w:val="none" w:sz="0"/>
            </w:tcBorders>
          </w:tcPr>
          <w:p>
            <w:r>
              <w:t xml:space="preserve"/>
            </w:r>
          </w:p>
        </w:tc>
        <w:tc>
          <w:tcPr>
            <w:tcW w:type="dxa" w:w="2200"/>
            <w:tcBorders>
              <w:top w:val="none" w:sz="0"/>
              <w:left w:val="none" w:sz="0"/>
              <w:bottom w:val="none" w:sz="0"/>
              <w:right w:val="none" w:sz="0"/>
            </w:tcBorders>
            <w:shd w:fill="2E75B6" w:val="clear"/>
            <w:tcMar>
              <w:top w:type="dxa" w:w="200"/>
              <w:left w:type="dxa" w:w="140"/>
              <w:bottom w:type="dxa" w:w="200"/>
              <w:right w:type="dxa" w:w="140"/>
            </w:tcMar>
          </w:tcPr>
          <w:p>
            <w:pPr>
              <w:spacing w:after="60"/>
              <w:jc w:val="center"/>
            </w:pPr>
            <w:r>
              <w:rPr>
                <w:rFonts w:ascii="Arial" w:cs="Arial" w:eastAsia="Arial" w:hAnsi="Arial"/>
                <w:b/>
                <w:bCs/>
                <w:color w:val="FFFFFF"/>
                <w:sz w:val="36"/>
                <w:szCs w:val="36"/>
              </w:rPr>
              <w:t xml:space="preserve">$22.62</w:t>
            </w:r>
          </w:p>
          <w:p>
            <w:pPr>
              <w:jc w:val="center"/>
            </w:pPr>
            <w:r>
              <w:rPr>
                <w:rFonts w:ascii="Arial" w:cs="Arial" w:eastAsia="Arial" w:hAnsi="Arial"/>
                <w:color w:val="FFFFFF"/>
                <w:sz w:val="16"/>
                <w:szCs w:val="16"/>
              </w:rPr>
              <w:t xml:space="preserve">COST/LEAD</w:t>
            </w:r>
          </w:p>
        </w:tc>
        <w:tc>
          <w:tcPr>
            <w:tcW w:type="dxa" w:w="200"/>
            <w:tcBorders>
              <w:top w:val="none" w:sz="0"/>
              <w:left w:val="none" w:sz="0"/>
              <w:bottom w:val="none" w:sz="0"/>
              <w:right w:val="none" w:sz="0"/>
            </w:tcBorders>
          </w:tcPr>
          <w:p>
            <w:r>
              <w:t xml:space="preserve"/>
            </w:r>
          </w:p>
        </w:tc>
        <w:tc>
          <w:tcPr>
            <w:tcW w:type="dxa" w:w="2160"/>
            <w:tcBorders>
              <w:top w:val="none" w:sz="0"/>
              <w:left w:val="none" w:sz="0"/>
              <w:bottom w:val="none" w:sz="0"/>
              <w:right w:val="none" w:sz="0"/>
            </w:tcBorders>
            <w:shd w:fill="2E75B6" w:val="clear"/>
            <w:tcMar>
              <w:top w:type="dxa" w:w="200"/>
              <w:left w:type="dxa" w:w="140"/>
              <w:bottom w:type="dxa" w:w="200"/>
              <w:right w:type="dxa" w:w="140"/>
            </w:tcMar>
          </w:tcPr>
          <w:p>
            <w:pPr>
              <w:spacing w:after="60"/>
              <w:jc w:val="center"/>
            </w:pPr>
            <w:r>
              <w:rPr>
                <w:rFonts w:ascii="Arial" w:cs="Arial" w:eastAsia="Arial" w:hAnsi="Arial"/>
                <w:b/>
                <w:bCs/>
                <w:color w:val="FFFFFF"/>
                <w:sz w:val="36"/>
                <w:szCs w:val="36"/>
              </w:rPr>
              <w:t xml:space="preserve">1</w:t>
            </w:r>
          </w:p>
          <w:p>
            <w:pPr>
              <w:jc w:val="center"/>
            </w:pPr>
            <w:r>
              <w:rPr>
                <w:rFonts w:ascii="Arial" w:cs="Arial" w:eastAsia="Arial" w:hAnsi="Arial"/>
                <w:color w:val="FFFFFF"/>
                <w:sz w:val="16"/>
                <w:szCs w:val="16"/>
              </w:rPr>
              <w:t xml:space="preserve">DEALS CLOSED</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AE60" w:sz="6"/>
              <w:left w:val="single" w:color="27AE60" w:sz="6"/>
              <w:bottom w:val="single" w:color="27AE60" w:sz="6"/>
              <w:right w:val="single" w:color="27AE60" w:sz="6"/>
            </w:tcBorders>
            <w:shd w:fill="F0FAF4" w:val="clear"/>
            <w:tcMar>
              <w:top w:type="dxa" w:w="200"/>
              <w:left w:type="dxa" w:w="300"/>
              <w:bottom w:type="dxa" w:w="200"/>
              <w:right w:type="dxa" w:w="300"/>
            </w:tcMar>
          </w:tcPr>
          <w:p>
            <w:pPr>
              <w:spacing w:after="80"/>
              <w:jc w:val="center"/>
            </w:pPr>
            <w:r>
              <w:rPr>
                <w:rFonts w:ascii="Arial" w:cs="Arial" w:eastAsia="Arial" w:hAnsi="Arial"/>
                <w:b/>
                <w:bCs/>
                <w:color w:val="27AE60"/>
                <w:sz w:val="24"/>
                <w:szCs w:val="24"/>
              </w:rPr>
              <w:t xml:space="preserve">ACQUISITION PIPELINE RESULTS</w:t>
            </w:r>
          </w:p>
          <w:p>
            <w:pPr>
              <w:jc w:val="center"/>
            </w:pPr>
            <w:r>
              <w:rPr>
                <w:rFonts w:ascii="Arial" w:cs="Arial" w:eastAsia="Arial" w:hAnsi="Arial"/>
                <w:b/>
                <w:bCs/>
                <w:color w:val="1B2A4A"/>
                <w:sz w:val="22"/>
                <w:szCs w:val="22"/>
              </w:rPr>
              <w:t xml:space="preserve">3 Companies in Active Due Diligence  +  1 Acquisition Closed</w:t>
            </w:r>
          </w:p>
        </w:tc>
      </w:tr>
    </w:tbl>
    <w:p>
      <w:pPr>
        <w:spacing w:after="300"/>
      </w:pPr>
    </w:p>
    <w:p>
      <w:pPr>
        <w:pStyle w:val="Heading2"/>
      </w:pPr>
      <w:r>
        <w:t xml:space="preserve">Weekly Performance Breakdown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400"/>
        <w:gridCol w:w="1100"/>
        <w:gridCol w:w="1100"/>
        <w:gridCol w:w="1400"/>
        <w:gridCol w:w="1100"/>
        <w:gridCol w:w="1160"/>
      </w:tblGrid>
      <w:tr>
        <w:tc>
          <w:tcPr>
            <w:tcW w:type="dxa" w:w="2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Week</w:t>
            </w:r>
          </w:p>
        </w:tc>
        <w:tc>
          <w:tcPr>
            <w:tcW w:type="dxa" w:w="14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Impressions</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Cost</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Clicks</w:t>
            </w:r>
          </w:p>
        </w:tc>
        <w:tc>
          <w:tcPr>
            <w:tcW w:type="dxa" w:w="14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Conversions</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Cost/Conv</w:t>
            </w:r>
          </w:p>
        </w:tc>
        <w:tc>
          <w:tcPr>
            <w:tcW w:type="dxa" w:w="116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CPC</w:t>
            </w:r>
          </w:p>
        </w:tc>
      </w:tr>
      <w:tr>
        <w:tc>
          <w:tcPr>
            <w:tcW w:type="dxa" w:w="2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9/29 - 10/05</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3,804</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$350.61</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48</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14</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$25.04</w:t>
            </w:r>
          </w:p>
        </w:tc>
        <w:tc>
          <w:tcPr>
            <w:tcW w:type="dxa" w:w="116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$7.30</w:t>
            </w:r>
          </w:p>
        </w:tc>
      </w:tr>
      <w:tr>
        <w:tc>
          <w:tcPr>
            <w:tcW w:type="dxa" w:w="2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10/06 - 10/12</w:t>
            </w:r>
          </w:p>
        </w:tc>
        <w:tc>
          <w:tcPr>
            <w:tcW w:type="dxa" w:w="14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7,579</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$338.39</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65</w:t>
            </w:r>
          </w:p>
        </w:tc>
        <w:tc>
          <w:tcPr>
            <w:tcW w:type="dxa" w:w="14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11</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$30.76</w:t>
            </w:r>
          </w:p>
        </w:tc>
        <w:tc>
          <w:tcPr>
            <w:tcW w:type="dxa" w:w="116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$5.21</w:t>
            </w:r>
          </w:p>
        </w:tc>
      </w:tr>
      <w:tr>
        <w:tc>
          <w:tcPr>
            <w:tcW w:type="dxa" w:w="2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10/13 - 10/19</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10,230</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$349.10</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111</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10</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$34.91</w:t>
            </w:r>
          </w:p>
        </w:tc>
        <w:tc>
          <w:tcPr>
            <w:tcW w:type="dxa" w:w="116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$3.15</w:t>
            </w:r>
          </w:p>
        </w:tc>
      </w:tr>
      <w:tr>
        <w:tc>
          <w:tcPr>
            <w:tcW w:type="dxa" w:w="2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10/20 - 10/26</w:t>
            </w:r>
          </w:p>
        </w:tc>
        <w:tc>
          <w:tcPr>
            <w:tcW w:type="dxa" w:w="14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13,096</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$353.19</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132</w:t>
            </w:r>
          </w:p>
        </w:tc>
        <w:tc>
          <w:tcPr>
            <w:tcW w:type="dxa" w:w="14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16</w:t>
            </w:r>
          </w:p>
        </w:tc>
        <w:tc>
          <w:tcPr>
            <w:tcW w:type="dxa" w:w="110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$22.07</w:t>
            </w:r>
          </w:p>
        </w:tc>
        <w:tc>
          <w:tcPr>
            <w:tcW w:type="dxa" w:w="1160"/>
            <w:tcBorders>
              <w:top w:val="single" w:color="D0D0D0" w:sz="1"/>
              <w:left w:val="single" w:color="D0D0D0" w:sz="1"/>
              <w:bottom w:val="single" w:color="D0D0D0" w:sz="1"/>
              <w:right w:val="single" w:color="D0D0D0" w:sz="1"/>
            </w:tcBorders>
            <w:tcMar>
              <w:top w:type="dxa" w:w="100"/>
              <w:left w:type="dxa" w:w="140"/>
              <w:bottom w:type="dxa" w:w="100"/>
              <w:right w:type="dxa" w:w="140"/>
            </w:tcMar>
            <w:vAlign w:val="center"/>
          </w:tcPr>
          <w:p>
            <w:pPr>
              <w:jc w:val="center"/>
            </w:pPr>
            <w:r>
              <w:rPr>
                <w:rFonts w:ascii="Arial" w:cs="Arial" w:eastAsia="Arial" w:hAnsi="Arial"/>
                <w:sz w:val="18"/>
                <w:szCs w:val="18"/>
              </w:rPr>
              <w:t xml:space="preserve">$2.68</w:t>
            </w:r>
          </w:p>
        </w:tc>
      </w:tr>
      <w:tr>
        <w:tc>
          <w:tcPr>
            <w:tcW w:type="dxa" w:w="2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10/27 - 11/02</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9,439</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$350.16</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139</w:t>
            </w:r>
          </w:p>
        </w:tc>
        <w:tc>
          <w:tcPr>
            <w:tcW w:type="dxa" w:w="14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26</w:t>
            </w:r>
          </w:p>
        </w:tc>
        <w:tc>
          <w:tcPr>
            <w:tcW w:type="dxa" w:w="110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$13.47</w:t>
            </w:r>
          </w:p>
        </w:tc>
        <w:tc>
          <w:tcPr>
            <w:tcW w:type="dxa" w:w="1160"/>
            <w:tcBorders>
              <w:top w:val="single" w:color="D0D0D0" w:sz="1"/>
              <w:left w:val="single" w:color="D0D0D0" w:sz="1"/>
              <w:bottom w:val="single" w:color="D0D0D0" w:sz="1"/>
              <w:right w:val="single" w:color="D0D0D0" w:sz="1"/>
            </w:tcBorders>
            <w:shd w:fill="F0F5FA" w:val="clear"/>
            <w:tcMar>
              <w:top w:type="dxa" w:w="100"/>
              <w:left w:type="dxa" w:w="140"/>
              <w:bottom w:type="dxa" w:w="100"/>
              <w:right w:type="dxa" w:w="140"/>
            </w:tcMar>
            <w:vAlign w:val="center"/>
          </w:tcPr>
          <w:p>
            <w:pPr>
              <w:jc w:val="center"/>
            </w:pPr>
            <w:r>
              <w:rPr>
                <w:rFonts w:ascii="Arial" w:cs="Arial" w:eastAsia="Arial" w:hAnsi="Arial"/>
                <w:sz w:val="18"/>
                <w:szCs w:val="18"/>
              </w:rPr>
              <w:t xml:space="preserve">$2.52</w:t>
            </w:r>
          </w:p>
        </w:tc>
      </w:tr>
      <w:tr>
        <w:tc>
          <w:tcPr>
            <w:tcW w:type="dxa" w:w="2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TOTALS</w:t>
            </w:r>
          </w:p>
        </w:tc>
        <w:tc>
          <w:tcPr>
            <w:tcW w:type="dxa" w:w="14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44,148</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$1,741.45</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495</w:t>
            </w:r>
          </w:p>
        </w:tc>
        <w:tc>
          <w:tcPr>
            <w:tcW w:type="dxa" w:w="14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77</w:t>
            </w:r>
          </w:p>
        </w:tc>
        <w:tc>
          <w:tcPr>
            <w:tcW w:type="dxa" w:w="110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$22.62</w:t>
            </w:r>
          </w:p>
        </w:tc>
        <w:tc>
          <w:tcPr>
            <w:tcW w:type="dxa" w:w="1160"/>
            <w:tcBorders>
              <w:top w:val="single" w:color="D0D0D0" w:sz="1"/>
              <w:left w:val="single" w:color="D0D0D0" w:sz="1"/>
              <w:bottom w:val="single" w:color="D0D0D0" w:sz="1"/>
              <w:right w:val="single" w:color="D0D0D0" w:sz="1"/>
            </w:tcBorders>
            <w:shd w:fill="1B2A4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$3.52</w:t>
            </w:r>
          </w:p>
        </w:tc>
      </w:tr>
    </w:tbl>
    <w:p>
      <w:pPr>
        <w:sectPr>
          <w:headerReference w:type="default" r:id="rId11"/>
          <w:footerReference w:type="default" r:id="rId12"/>
          <w:pgSz w:w="12240" w:h="15840" w:orient="portrait"/>
          <w:pgMar w:top="1440" w:right="1440" w:bottom="1440" w:left="1440" w:header="708" w:footer="708" w:gutter="0"/>
          <w:pgNumType/>
          <w:docGrid w:linePitch="360"/>
        </w:sectPr>
      </w:pPr>
    </w:p>
    <w:p>
      <w:pPr>
        <w:pStyle w:val="Heading1"/>
      </w:pPr>
      <w:r>
        <w:t xml:space="preserve">Key Performance Insights</w:t>
      </w:r>
    </w:p>
    <w:p>
      <w:pPr>
        <w:pStyle w:val="Heading2"/>
      </w:pPr>
      <w:r>
        <w:t xml:space="preserve">Cost Per Click Dropped 65% Over 5 Weeks</w:t>
      </w:r>
    </w:p>
    <w:p>
      <w:pPr>
        <w:spacing w:after="200"/>
      </w:pPr>
      <w:r>
        <w:t xml:space="preserve">CPC started at $7.30 in week one and steadily declined to </w:t>
      </w:r>
      <w:r>
        <w:rPr>
          <w:b/>
          <w:bCs/>
        </w:rPr>
        <w:t xml:space="preserve">$2.52 by week five</w:t>
      </w:r>
      <w:r>
        <w:t xml:space="preserve">. This dramatic improvement signals that Meta's algorithm rapidly identified the right audience segments, and our multi-hook creative rotation kept engagement rates climbing as the campaign matured.</w:t>
      </w:r>
    </w:p>
    <w:p>
      <w:pPr>
        <w:pStyle w:val="Heading2"/>
      </w:pPr>
      <w:r>
        <w:t xml:space="preserve">Cost Per Conversion Cut Nearly in Half</w:t>
      </w:r>
    </w:p>
    <w:p>
      <w:pPr>
        <w:spacing w:after="200"/>
      </w:pPr>
      <w:r>
        <w:t xml:space="preserve">Cost per lead dropped from $25.04 to </w:t>
      </w:r>
      <w:r>
        <w:rPr>
          <w:b/>
          <w:bCs/>
        </w:rPr>
        <w:t xml:space="preserve">$13.47</w:t>
      </w:r>
      <w:r>
        <w:t xml:space="preserve">, a </w:t>
      </w:r>
      <w:r>
        <w:rPr>
          <w:b/>
          <w:bCs/>
        </w:rPr>
        <w:t xml:space="preserve">46% reduction</w:t>
      </w:r>
      <w:r>
        <w:t xml:space="preserve">. Week five alone delivered 26 conversions, more than any other week, proving the campaign was still accelerating when the flight ended.</w:t>
      </w:r>
    </w:p>
    <w:p>
      <w:pPr>
        <w:pStyle w:val="Heading2"/>
      </w:pPr>
      <w:r>
        <w:t xml:space="preserve">Week 5 Was the Strongest Performing Week</w:t>
      </w:r>
    </w:p>
    <w:p>
      <w:pPr>
        <w:spacing w:after="200"/>
      </w:pPr>
      <w:r>
        <w:t xml:space="preserve">The final week produced </w:t>
      </w:r>
      <w:r>
        <w:rPr>
          <w:b/>
          <w:bCs/>
        </w:rPr>
        <w:t xml:space="preserve">139 clicks and 26 conversions</w:t>
      </w:r>
      <w:r>
        <w:t xml:space="preserve"> at the lowest CPC and cost per conversion of the entire campaign. This upward trajectory indicates significant additional scale opportunity with continued investment.</w:t>
      </w:r>
    </w:p>
    <w:p>
      <w:pPr>
        <w:pStyle w:val="Heading2"/>
      </w:pPr>
      <w:r>
        <w:t xml:space="preserve">Lead Quality Drove Real Pipeline</w:t>
      </w:r>
    </w:p>
    <w:p>
      <w:pPr>
        <w:spacing w:after="300"/>
      </w:pPr>
      <w:r>
        <w:t xml:space="preserve">The 77 leads generated weren't just form fills. They were real accounting firm owners from named practices across the country, including CPAs, enrolled agents, and multi-partner firms. The quality was strong enough to move </w:t>
      </w:r>
      <w:r>
        <w:rPr>
          <w:b/>
          <w:bCs/>
        </w:rPr>
        <w:t xml:space="preserve">3 companies into active due diligence</w:t>
      </w:r>
      <w:r>
        <w:t xml:space="preserve"> and </w:t>
      </w:r>
      <w:r>
        <w:rPr>
          <w:b/>
          <w:bCs/>
        </w:rPr>
        <w:t xml:space="preserve">close 1 acquisition</w:t>
      </w:r>
      <w:r>
        <w:t xml:space="preserve">, all from under $1,800 in ad spend.</w:t>
      </w:r>
    </w:p>
    <w:p>
      <w:pPr>
        <w:pStyle w:val="Heading1"/>
      </w:pPr>
      <w:r>
        <w:t xml:space="preserve">Conclusion</w:t>
      </w:r>
    </w:p>
    <w:p>
      <w:pPr>
        <w:spacing w:after="200"/>
      </w:pPr>
      <w:r>
        <w:t xml:space="preserve">This campaign demonstrates that even in hyper-niche, high-stakes verticals like accounting firm acquisitions, a well-structured Meta Ads strategy can deliver outsized results on a modest budget. The combination of multi-hook video creative, lead form qualification, and disciplined weekly spend created a repeatable system for sourcing acquisition targets at scale.</w:t>
      </w:r>
    </w:p>
    <w:p>
      <w:pPr>
        <w:spacing w:after="200"/>
      </w:pPr>
      <w:r>
        <w:t xml:space="preserve">With </w:t>
      </w:r>
      <w:r>
        <w:rPr>
          <w:b/>
          <w:bCs/>
        </w:rPr>
        <w:t xml:space="preserve">1 acquisition closed and 3 more in due diligence</w:t>
      </w:r>
      <w:r>
        <w:t xml:space="preserve"> from a total investment of $1,741.45, the return on ad spend is effectively immeasurable. The value of a single accounting firm acquisition far exceeds the entire campaign cost by orders of magnitude.</w:t>
      </w:r>
    </w:p>
    <w:p>
      <w:pPr>
        <w:spacing w:before="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F0F5FA" w:val="clear"/>
            <w:tcMar>
              <w:top w:type="dxa" w:w="300"/>
              <w:left w:type="dxa" w:w="400"/>
              <w:bottom w:type="dxa" w:w="300"/>
              <w:right w:type="dxa" w:w="400"/>
            </w:tcMar>
          </w:tcPr>
          <w:p>
            <w:pPr>
              <w:spacing w:after="120"/>
              <w:jc w:val="center"/>
            </w:pPr>
            <w:r>
              <w:rPr>
                <w:rFonts w:ascii="Arial" w:cs="Arial" w:eastAsia="Arial" w:hAnsi="Arial"/>
                <w:b/>
                <w:bCs/>
                <w:color w:val="1B2A4A"/>
                <w:sz w:val="28"/>
                <w:szCs w:val="28"/>
              </w:rPr>
              <w:t xml:space="preserve">Ready to Build Your Own Acquisition Pipeline?</w:t>
            </w:r>
          </w:p>
          <w:p>
            <w:pPr>
              <w:jc w:val="center"/>
            </w:pPr>
            <w:r>
              <w:rPr>
                <w:rFonts w:ascii="Arial" w:cs="Arial" w:eastAsia="Arial" w:hAnsi="Arial"/>
                <w:color w:val="555555"/>
                <w:sz w:val="22"/>
                <w:szCs w:val="22"/>
              </w:rPr>
              <w:t xml:space="preserve">Contact Secret Agents AI to discuss how we can replicate these results for your growth strategy.</w:t>
            </w:r>
          </w:p>
        </w:tc>
      </w:tr>
    </w:tbl>
    <w:sectPr>
      <w:headerReference w:type="default" r:id="rId13"/>
      <w:footerReference w:type="default" r:id="rId14"/>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Case Study  |  Accounting Firm Roll-Up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Case Study  |  Accounting Firm Roll-Up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Case Study  |  Accounting Firm Roll-Up</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Case Study  |  Accounting Firm Roll-Up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2A4A"/>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c6f1edf7b8ab5ed00c0b2c0567521d2320b8a1ca.jpg"/><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2026-03-16T18:25:35.806Z</dcterms:created>
  <dcterms:modified xsi:type="dcterms:W3CDTF">2026-03-16T18:25:35.807Z</dcterms:modified>
</cp:coreProperties>
</file>

<file path=docProps/custom.xml><?xml version="1.0" encoding="utf-8"?>
<Properties xmlns="http://schemas.openxmlformats.org/officeDocument/2006/custom-properties" xmlns:vt="http://schemas.openxmlformats.org/officeDocument/2006/docPropsVTypes"/>
</file>